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1D" w:rsidRPr="00EA78D8" w:rsidRDefault="0097401D" w:rsidP="0097401D">
      <w:pPr>
        <w:pStyle w:val="FR1"/>
        <w:tabs>
          <w:tab w:val="left" w:pos="5420"/>
        </w:tabs>
        <w:spacing w:before="0"/>
        <w:ind w:left="0" w:right="0"/>
        <w:rPr>
          <w:sz w:val="28"/>
          <w:szCs w:val="28"/>
        </w:rPr>
      </w:pPr>
      <w:r w:rsidRPr="00EA78D8">
        <w:rPr>
          <w:sz w:val="28"/>
          <w:szCs w:val="28"/>
        </w:rPr>
        <w:t>Правительство Российской Федерации</w:t>
      </w:r>
    </w:p>
    <w:p w:rsidR="0097401D" w:rsidRPr="00EA78D8" w:rsidRDefault="0097401D" w:rsidP="0097401D">
      <w:pPr>
        <w:pStyle w:val="FR1"/>
        <w:tabs>
          <w:tab w:val="left" w:pos="5420"/>
        </w:tabs>
        <w:spacing w:before="0"/>
        <w:ind w:left="0" w:right="0"/>
        <w:rPr>
          <w:sz w:val="28"/>
          <w:szCs w:val="28"/>
        </w:rPr>
      </w:pPr>
    </w:p>
    <w:p w:rsidR="0097401D" w:rsidRPr="00EA78D8" w:rsidRDefault="0097401D" w:rsidP="0097401D">
      <w:pPr>
        <w:spacing w:line="360" w:lineRule="auto"/>
        <w:ind w:firstLine="709"/>
        <w:jc w:val="center"/>
        <w:rPr>
          <w:rFonts w:ascii="Times New Roman" w:hAnsi="Times New Roman"/>
          <w:b/>
          <w:sz w:val="28"/>
          <w:szCs w:val="28"/>
        </w:rPr>
      </w:pPr>
      <w:r w:rsidRPr="00EA78D8">
        <w:rPr>
          <w:rFonts w:ascii="Times New Roman" w:hAnsi="Times New Roman"/>
          <w:b/>
          <w:sz w:val="28"/>
          <w:szCs w:val="28"/>
        </w:rPr>
        <w:t xml:space="preserve">Федеральное государственное автономное образовательное учреждение высшего профессионального образования </w:t>
      </w:r>
    </w:p>
    <w:p w:rsidR="0097401D" w:rsidRPr="00EA78D8" w:rsidRDefault="0097401D" w:rsidP="0097401D">
      <w:pPr>
        <w:spacing w:line="360" w:lineRule="auto"/>
        <w:ind w:firstLine="709"/>
        <w:jc w:val="center"/>
        <w:rPr>
          <w:rFonts w:ascii="Times New Roman" w:hAnsi="Times New Roman"/>
          <w:b/>
          <w:sz w:val="28"/>
          <w:szCs w:val="28"/>
        </w:rPr>
      </w:pPr>
      <w:r w:rsidRPr="00EA78D8">
        <w:rPr>
          <w:rFonts w:ascii="Times New Roman" w:hAnsi="Times New Roman"/>
          <w:b/>
          <w:sz w:val="28"/>
          <w:szCs w:val="28"/>
        </w:rPr>
        <w:t xml:space="preserve">«Национальный исследовательский университет </w:t>
      </w:r>
    </w:p>
    <w:p w:rsidR="0097401D" w:rsidRPr="00EA78D8" w:rsidRDefault="0097401D" w:rsidP="0097401D">
      <w:pPr>
        <w:spacing w:line="360" w:lineRule="auto"/>
        <w:ind w:firstLine="709"/>
        <w:jc w:val="center"/>
        <w:rPr>
          <w:sz w:val="28"/>
          <w:szCs w:val="28"/>
        </w:rPr>
      </w:pPr>
      <w:r w:rsidRPr="00EA78D8">
        <w:rPr>
          <w:rFonts w:ascii="Times New Roman" w:hAnsi="Times New Roman"/>
          <w:b/>
          <w:sz w:val="28"/>
          <w:szCs w:val="28"/>
        </w:rPr>
        <w:t>«Высшая школа экономики»</w:t>
      </w:r>
    </w:p>
    <w:p w:rsidR="0097401D" w:rsidRPr="00EA78D8" w:rsidRDefault="0097401D" w:rsidP="0097401D">
      <w:pPr>
        <w:rPr>
          <w:sz w:val="28"/>
          <w:szCs w:val="28"/>
        </w:rPr>
      </w:pPr>
    </w:p>
    <w:p w:rsidR="0097401D" w:rsidRPr="00EA78D8" w:rsidRDefault="0097401D" w:rsidP="0097401D">
      <w:pPr>
        <w:pStyle w:val="6"/>
        <w:jc w:val="center"/>
        <w:rPr>
          <w:sz w:val="28"/>
          <w:szCs w:val="28"/>
        </w:rPr>
      </w:pPr>
      <w:r w:rsidRPr="00EA78D8">
        <w:rPr>
          <w:sz w:val="28"/>
          <w:szCs w:val="28"/>
        </w:rPr>
        <w:t>Факультет  государственного и муниципального управления</w:t>
      </w:r>
    </w:p>
    <w:p w:rsidR="0097401D" w:rsidRPr="00EA78D8" w:rsidRDefault="0097401D" w:rsidP="0097401D">
      <w:pPr>
        <w:pStyle w:val="6"/>
        <w:jc w:val="center"/>
        <w:rPr>
          <w:sz w:val="28"/>
          <w:szCs w:val="28"/>
        </w:rPr>
      </w:pPr>
      <w:r w:rsidRPr="00EA78D8">
        <w:rPr>
          <w:sz w:val="28"/>
          <w:szCs w:val="28"/>
        </w:rPr>
        <w:t xml:space="preserve">Кафедра </w:t>
      </w:r>
      <w:r w:rsidRPr="003D34E9">
        <w:rPr>
          <w:sz w:val="26"/>
          <w:szCs w:val="26"/>
        </w:rPr>
        <w:t>финансового учета и финансовой отчетности</w:t>
      </w:r>
    </w:p>
    <w:p w:rsidR="0097401D" w:rsidRPr="00EA78D8" w:rsidRDefault="0097401D" w:rsidP="0097401D">
      <w:pPr>
        <w:autoSpaceDE w:val="0"/>
        <w:autoSpaceDN w:val="0"/>
        <w:adjustRightInd w:val="0"/>
        <w:jc w:val="center"/>
        <w:rPr>
          <w:sz w:val="28"/>
          <w:szCs w:val="28"/>
        </w:rPr>
      </w:pPr>
    </w:p>
    <w:p w:rsidR="0097401D" w:rsidRPr="004D476A" w:rsidRDefault="0097401D" w:rsidP="0097401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БАКАЛАВРСКАЯ РАБОТА </w:t>
      </w:r>
    </w:p>
    <w:p w:rsidR="0097401D" w:rsidRPr="00EA78D8" w:rsidRDefault="0097401D" w:rsidP="0097401D">
      <w:pPr>
        <w:autoSpaceDE w:val="0"/>
        <w:autoSpaceDN w:val="0"/>
        <w:adjustRightInd w:val="0"/>
        <w:jc w:val="center"/>
        <w:rPr>
          <w:b/>
          <w:bCs/>
          <w:sz w:val="28"/>
          <w:szCs w:val="28"/>
        </w:rPr>
      </w:pPr>
    </w:p>
    <w:p w:rsidR="0097401D" w:rsidRPr="0097401D" w:rsidRDefault="0097401D" w:rsidP="0097401D">
      <w:pPr>
        <w:pStyle w:val="21"/>
        <w:spacing w:line="360" w:lineRule="auto"/>
        <w:rPr>
          <w:sz w:val="28"/>
          <w:szCs w:val="26"/>
        </w:rPr>
      </w:pPr>
      <w:r w:rsidRPr="00EA78D8">
        <w:rPr>
          <w:sz w:val="28"/>
          <w:szCs w:val="28"/>
        </w:rPr>
        <w:t>На тему</w:t>
      </w:r>
      <w:r>
        <w:rPr>
          <w:sz w:val="28"/>
          <w:szCs w:val="28"/>
        </w:rPr>
        <w:t xml:space="preserve"> </w:t>
      </w:r>
      <w:r w:rsidRPr="0097401D">
        <w:rPr>
          <w:sz w:val="28"/>
          <w:szCs w:val="26"/>
        </w:rPr>
        <w:t>«Применение международных стандартов финансовой отчётности в телекоммуникационном секторе в России»</w:t>
      </w:r>
    </w:p>
    <w:p w:rsidR="0097401D" w:rsidRDefault="0097401D" w:rsidP="0097401D">
      <w:pPr>
        <w:pStyle w:val="21"/>
        <w:rPr>
          <w:sz w:val="28"/>
          <w:szCs w:val="28"/>
        </w:rPr>
      </w:pPr>
    </w:p>
    <w:p w:rsidR="0097401D" w:rsidRDefault="0097401D" w:rsidP="0097401D">
      <w:pPr>
        <w:pStyle w:val="21"/>
        <w:rPr>
          <w:sz w:val="28"/>
          <w:szCs w:val="28"/>
        </w:rPr>
      </w:pPr>
    </w:p>
    <w:p w:rsidR="0097401D" w:rsidRPr="0097401D" w:rsidRDefault="0097401D" w:rsidP="0097401D">
      <w:pPr>
        <w:tabs>
          <w:tab w:val="left" w:pos="8820"/>
        </w:tabs>
        <w:ind w:left="4956" w:right="818"/>
        <w:rPr>
          <w:rFonts w:ascii="Times New Roman" w:hAnsi="Times New Roman"/>
          <w:sz w:val="28"/>
          <w:szCs w:val="28"/>
        </w:rPr>
      </w:pPr>
      <w:r w:rsidRPr="00EA78D8">
        <w:rPr>
          <w:sz w:val="28"/>
          <w:szCs w:val="28"/>
        </w:rPr>
        <w:br/>
      </w:r>
      <w:r w:rsidRPr="00EA78D8">
        <w:rPr>
          <w:rFonts w:ascii="Times New Roman" w:hAnsi="Times New Roman"/>
          <w:sz w:val="28"/>
          <w:szCs w:val="28"/>
        </w:rPr>
        <w:t xml:space="preserve">Студент группы № </w:t>
      </w:r>
      <w:r w:rsidRPr="0097401D">
        <w:rPr>
          <w:rFonts w:ascii="Times New Roman" w:hAnsi="Times New Roman"/>
          <w:sz w:val="28"/>
          <w:szCs w:val="28"/>
        </w:rPr>
        <w:t>491</w:t>
      </w:r>
    </w:p>
    <w:p w:rsidR="0097401D" w:rsidRPr="00EA78D8" w:rsidRDefault="0097401D" w:rsidP="0097401D">
      <w:pPr>
        <w:tabs>
          <w:tab w:val="left" w:pos="8820"/>
        </w:tabs>
        <w:ind w:left="4956" w:right="818"/>
        <w:rPr>
          <w:rFonts w:ascii="Times New Roman" w:hAnsi="Times New Roman"/>
          <w:sz w:val="28"/>
          <w:szCs w:val="28"/>
        </w:rPr>
      </w:pPr>
      <w:r w:rsidRPr="0097401D">
        <w:rPr>
          <w:rFonts w:ascii="Times New Roman" w:hAnsi="Times New Roman"/>
          <w:sz w:val="28"/>
          <w:szCs w:val="28"/>
        </w:rPr>
        <w:t>Герасимова Мария Сергеевна</w:t>
      </w:r>
    </w:p>
    <w:p w:rsidR="0097401D" w:rsidRPr="00EA78D8" w:rsidRDefault="0097401D" w:rsidP="0097401D">
      <w:pPr>
        <w:tabs>
          <w:tab w:val="left" w:pos="8820"/>
        </w:tabs>
        <w:spacing w:line="360" w:lineRule="auto"/>
        <w:ind w:left="4956" w:right="816"/>
        <w:rPr>
          <w:rFonts w:ascii="Times New Roman" w:hAnsi="Times New Roman"/>
          <w:sz w:val="28"/>
          <w:szCs w:val="28"/>
        </w:rPr>
      </w:pPr>
      <w:r>
        <w:rPr>
          <w:rFonts w:ascii="Times New Roman" w:hAnsi="Times New Roman"/>
          <w:sz w:val="28"/>
          <w:szCs w:val="28"/>
        </w:rPr>
        <w:t>Научный р</w:t>
      </w:r>
      <w:r w:rsidRPr="00EA78D8">
        <w:rPr>
          <w:rFonts w:ascii="Times New Roman" w:hAnsi="Times New Roman"/>
          <w:sz w:val="28"/>
          <w:szCs w:val="28"/>
        </w:rPr>
        <w:t>уководитель</w:t>
      </w:r>
      <w:r>
        <w:rPr>
          <w:rFonts w:ascii="Times New Roman" w:hAnsi="Times New Roman"/>
          <w:sz w:val="28"/>
          <w:szCs w:val="28"/>
        </w:rPr>
        <w:t>:</w:t>
      </w:r>
    </w:p>
    <w:p w:rsidR="0097401D" w:rsidRPr="0097401D" w:rsidRDefault="0097401D" w:rsidP="0097401D">
      <w:pPr>
        <w:tabs>
          <w:tab w:val="left" w:pos="8820"/>
        </w:tabs>
        <w:ind w:left="4956" w:right="818"/>
        <w:rPr>
          <w:rFonts w:ascii="Calibri" w:eastAsia="Calibri" w:hAnsi="Calibri" w:cs="Times New Roman"/>
          <w:sz w:val="26"/>
          <w:szCs w:val="26"/>
        </w:rPr>
      </w:pPr>
      <w:r w:rsidRPr="0097401D">
        <w:rPr>
          <w:rFonts w:ascii="Times New Roman" w:hAnsi="Times New Roman"/>
          <w:sz w:val="28"/>
          <w:szCs w:val="28"/>
        </w:rPr>
        <w:t>Доцент Трусова Н. В.</w:t>
      </w:r>
    </w:p>
    <w:p w:rsidR="0097401D" w:rsidRDefault="0097401D" w:rsidP="0097401D">
      <w:pPr>
        <w:ind w:left="4956"/>
        <w:jc w:val="both"/>
        <w:rPr>
          <w:rFonts w:ascii="Times New Roman" w:hAnsi="Times New Roman"/>
          <w:sz w:val="28"/>
          <w:szCs w:val="28"/>
        </w:rPr>
      </w:pPr>
      <w:r>
        <w:rPr>
          <w:rFonts w:ascii="Times New Roman" w:hAnsi="Times New Roman"/>
          <w:sz w:val="28"/>
          <w:szCs w:val="28"/>
        </w:rPr>
        <w:t>Рецензент:</w:t>
      </w:r>
    </w:p>
    <w:p w:rsidR="0097401D" w:rsidRPr="00EA78D8" w:rsidRDefault="0097401D" w:rsidP="0097401D">
      <w:pPr>
        <w:tabs>
          <w:tab w:val="left" w:pos="8820"/>
        </w:tabs>
        <w:ind w:left="4956" w:right="818"/>
        <w:rPr>
          <w:rFonts w:ascii="Times New Roman" w:hAnsi="Times New Roman"/>
          <w:sz w:val="28"/>
          <w:szCs w:val="28"/>
        </w:rPr>
      </w:pPr>
      <w:r>
        <w:rPr>
          <w:rFonts w:ascii="Times New Roman" w:hAnsi="Times New Roman"/>
          <w:sz w:val="28"/>
          <w:szCs w:val="28"/>
        </w:rPr>
        <w:t>Доцент Сорокина К. В.</w:t>
      </w:r>
    </w:p>
    <w:p w:rsidR="0097401D" w:rsidRDefault="0097401D" w:rsidP="0097401D">
      <w:pPr>
        <w:ind w:left="4956"/>
        <w:rPr>
          <w:rFonts w:ascii="Times New Roman" w:hAnsi="Times New Roman"/>
          <w:sz w:val="28"/>
          <w:szCs w:val="28"/>
        </w:rPr>
      </w:pPr>
      <w:r w:rsidRPr="00EA78D8">
        <w:rPr>
          <w:rFonts w:ascii="Times New Roman" w:hAnsi="Times New Roman"/>
          <w:sz w:val="28"/>
          <w:szCs w:val="28"/>
        </w:rPr>
        <w:t xml:space="preserve">    (должность, звание, Ф.И.О.)</w:t>
      </w:r>
    </w:p>
    <w:p w:rsidR="0097401D" w:rsidRDefault="0097401D" w:rsidP="0097401D">
      <w:pPr>
        <w:autoSpaceDE w:val="0"/>
        <w:autoSpaceDN w:val="0"/>
        <w:adjustRightInd w:val="0"/>
        <w:jc w:val="center"/>
        <w:rPr>
          <w:rFonts w:ascii="Times New Roman" w:hAnsi="Times New Roman"/>
          <w:sz w:val="28"/>
          <w:szCs w:val="28"/>
        </w:rPr>
      </w:pPr>
    </w:p>
    <w:p w:rsidR="0097401D" w:rsidRDefault="0097401D" w:rsidP="0097401D">
      <w:pPr>
        <w:autoSpaceDE w:val="0"/>
        <w:autoSpaceDN w:val="0"/>
        <w:adjustRightInd w:val="0"/>
        <w:jc w:val="center"/>
        <w:rPr>
          <w:rFonts w:ascii="Times New Roman" w:hAnsi="Times New Roman"/>
          <w:sz w:val="28"/>
          <w:szCs w:val="28"/>
        </w:rPr>
      </w:pPr>
    </w:p>
    <w:p w:rsidR="003D34E9" w:rsidRPr="0097401D" w:rsidRDefault="0097401D" w:rsidP="0097401D">
      <w:pPr>
        <w:autoSpaceDE w:val="0"/>
        <w:autoSpaceDN w:val="0"/>
        <w:adjustRightInd w:val="0"/>
        <w:jc w:val="center"/>
        <w:rPr>
          <w:rFonts w:ascii="Times New Roman" w:hAnsi="Times New Roman"/>
          <w:sz w:val="28"/>
          <w:szCs w:val="28"/>
        </w:rPr>
      </w:pPr>
      <w:r w:rsidRPr="00EA78D8">
        <w:rPr>
          <w:rFonts w:ascii="Times New Roman" w:hAnsi="Times New Roman"/>
          <w:sz w:val="28"/>
          <w:szCs w:val="28"/>
        </w:rPr>
        <w:t>Москва, 20</w:t>
      </w:r>
      <w:r>
        <w:rPr>
          <w:rFonts w:ascii="Times New Roman" w:hAnsi="Times New Roman"/>
          <w:sz w:val="28"/>
          <w:szCs w:val="28"/>
        </w:rPr>
        <w:t>13</w:t>
      </w:r>
      <w:r w:rsidR="003D34E9">
        <w:rPr>
          <w:sz w:val="26"/>
          <w:szCs w:val="26"/>
        </w:rPr>
        <w:br w:type="page"/>
      </w:r>
    </w:p>
    <w:sdt>
      <w:sdtPr>
        <w:rPr>
          <w:rFonts w:asciiTheme="minorHAnsi" w:eastAsiaTheme="minorHAnsi" w:hAnsiTheme="minorHAnsi" w:cstheme="minorBidi"/>
          <w:b w:val="0"/>
          <w:bCs w:val="0"/>
          <w:color w:val="auto"/>
          <w:sz w:val="22"/>
          <w:szCs w:val="22"/>
        </w:rPr>
        <w:id w:val="75848872"/>
        <w:docPartObj>
          <w:docPartGallery w:val="Table of Contents"/>
          <w:docPartUnique/>
        </w:docPartObj>
      </w:sdtPr>
      <w:sdtContent>
        <w:p w:rsidR="003D34E9" w:rsidRDefault="003D34E9">
          <w:pPr>
            <w:pStyle w:val="ab"/>
          </w:pPr>
          <w:r w:rsidRPr="003D34E9">
            <w:rPr>
              <w:color w:val="auto"/>
              <w:sz w:val="32"/>
              <w:szCs w:val="32"/>
            </w:rPr>
            <w:t>Оглавление</w:t>
          </w:r>
        </w:p>
        <w:p w:rsidR="003D34E9" w:rsidRDefault="002C5FD5">
          <w:pPr>
            <w:pStyle w:val="11"/>
            <w:tabs>
              <w:tab w:val="right" w:leader="dot" w:pos="9345"/>
            </w:tabs>
            <w:rPr>
              <w:noProof/>
            </w:rPr>
          </w:pPr>
          <w:r>
            <w:fldChar w:fldCharType="begin"/>
          </w:r>
          <w:r w:rsidR="003D34E9">
            <w:instrText xml:space="preserve"> TOC \o "1-3" \h \z \u </w:instrText>
          </w:r>
          <w:r>
            <w:fldChar w:fldCharType="separate"/>
          </w:r>
          <w:hyperlink w:anchor="_Toc356280302" w:history="1">
            <w:r w:rsidR="003D34E9" w:rsidRPr="00B02285">
              <w:rPr>
                <w:rStyle w:val="a7"/>
                <w:noProof/>
              </w:rPr>
              <w:t>Введение</w:t>
            </w:r>
            <w:r w:rsidR="003D34E9">
              <w:rPr>
                <w:noProof/>
                <w:webHidden/>
              </w:rPr>
              <w:tab/>
            </w:r>
            <w:r>
              <w:rPr>
                <w:noProof/>
                <w:webHidden/>
              </w:rPr>
              <w:fldChar w:fldCharType="begin"/>
            </w:r>
            <w:r w:rsidR="003D34E9">
              <w:rPr>
                <w:noProof/>
                <w:webHidden/>
              </w:rPr>
              <w:instrText xml:space="preserve"> PAGEREF _Toc356280302 \h </w:instrText>
            </w:r>
            <w:r>
              <w:rPr>
                <w:noProof/>
                <w:webHidden/>
              </w:rPr>
            </w:r>
            <w:r>
              <w:rPr>
                <w:noProof/>
                <w:webHidden/>
              </w:rPr>
              <w:fldChar w:fldCharType="separate"/>
            </w:r>
            <w:r w:rsidR="003D34E9">
              <w:rPr>
                <w:noProof/>
                <w:webHidden/>
              </w:rPr>
              <w:t>3</w:t>
            </w:r>
            <w:r>
              <w:rPr>
                <w:noProof/>
                <w:webHidden/>
              </w:rPr>
              <w:fldChar w:fldCharType="end"/>
            </w:r>
          </w:hyperlink>
        </w:p>
        <w:p w:rsidR="003D34E9" w:rsidRDefault="002C5FD5">
          <w:pPr>
            <w:pStyle w:val="11"/>
            <w:tabs>
              <w:tab w:val="right" w:leader="dot" w:pos="9345"/>
            </w:tabs>
            <w:rPr>
              <w:noProof/>
            </w:rPr>
          </w:pPr>
          <w:hyperlink w:anchor="_Toc356280303" w:history="1">
            <w:r w:rsidR="003D34E9" w:rsidRPr="00B02285">
              <w:rPr>
                <w:rStyle w:val="a7"/>
                <w:noProof/>
              </w:rPr>
              <w:t>Глава 1. Происхождение, цель и значение МСФО в мировой экономике</w:t>
            </w:r>
            <w:r w:rsidR="003D34E9">
              <w:rPr>
                <w:noProof/>
                <w:webHidden/>
              </w:rPr>
              <w:tab/>
            </w:r>
            <w:r>
              <w:rPr>
                <w:noProof/>
                <w:webHidden/>
              </w:rPr>
              <w:fldChar w:fldCharType="begin"/>
            </w:r>
            <w:r w:rsidR="003D34E9">
              <w:rPr>
                <w:noProof/>
                <w:webHidden/>
              </w:rPr>
              <w:instrText xml:space="preserve"> PAGEREF _Toc356280303 \h </w:instrText>
            </w:r>
            <w:r>
              <w:rPr>
                <w:noProof/>
                <w:webHidden/>
              </w:rPr>
            </w:r>
            <w:r>
              <w:rPr>
                <w:noProof/>
                <w:webHidden/>
              </w:rPr>
              <w:fldChar w:fldCharType="separate"/>
            </w:r>
            <w:r w:rsidR="003D34E9">
              <w:rPr>
                <w:noProof/>
                <w:webHidden/>
              </w:rPr>
              <w:t>5</w:t>
            </w:r>
            <w:r>
              <w:rPr>
                <w:noProof/>
                <w:webHidden/>
              </w:rPr>
              <w:fldChar w:fldCharType="end"/>
            </w:r>
          </w:hyperlink>
        </w:p>
        <w:p w:rsidR="003D34E9" w:rsidRDefault="002C5FD5">
          <w:pPr>
            <w:pStyle w:val="23"/>
            <w:tabs>
              <w:tab w:val="right" w:leader="dot" w:pos="9345"/>
            </w:tabs>
            <w:rPr>
              <w:noProof/>
            </w:rPr>
          </w:pPr>
          <w:hyperlink w:anchor="_Toc356280304" w:history="1">
            <w:r w:rsidR="003D34E9" w:rsidRPr="00B02285">
              <w:rPr>
                <w:rStyle w:val="a7"/>
                <w:noProof/>
              </w:rPr>
              <w:t>Происхождение МСФО</w:t>
            </w:r>
            <w:r w:rsidR="003D34E9">
              <w:rPr>
                <w:noProof/>
                <w:webHidden/>
              </w:rPr>
              <w:tab/>
            </w:r>
            <w:r>
              <w:rPr>
                <w:noProof/>
                <w:webHidden/>
              </w:rPr>
              <w:fldChar w:fldCharType="begin"/>
            </w:r>
            <w:r w:rsidR="003D34E9">
              <w:rPr>
                <w:noProof/>
                <w:webHidden/>
              </w:rPr>
              <w:instrText xml:space="preserve"> PAGEREF _Toc356280304 \h </w:instrText>
            </w:r>
            <w:r>
              <w:rPr>
                <w:noProof/>
                <w:webHidden/>
              </w:rPr>
            </w:r>
            <w:r>
              <w:rPr>
                <w:noProof/>
                <w:webHidden/>
              </w:rPr>
              <w:fldChar w:fldCharType="separate"/>
            </w:r>
            <w:r w:rsidR="003D34E9">
              <w:rPr>
                <w:noProof/>
                <w:webHidden/>
              </w:rPr>
              <w:t>5</w:t>
            </w:r>
            <w:r>
              <w:rPr>
                <w:noProof/>
                <w:webHidden/>
              </w:rPr>
              <w:fldChar w:fldCharType="end"/>
            </w:r>
          </w:hyperlink>
        </w:p>
        <w:p w:rsidR="003D34E9" w:rsidRDefault="002C5FD5">
          <w:pPr>
            <w:pStyle w:val="23"/>
            <w:tabs>
              <w:tab w:val="right" w:leader="dot" w:pos="9345"/>
            </w:tabs>
            <w:rPr>
              <w:noProof/>
            </w:rPr>
          </w:pPr>
          <w:hyperlink w:anchor="_Toc356280305" w:history="1">
            <w:r w:rsidR="003D34E9" w:rsidRPr="00B02285">
              <w:rPr>
                <w:rStyle w:val="a7"/>
                <w:noProof/>
              </w:rPr>
              <w:t>Финансовая отчётность и учётная политика в соответствии с МСФО</w:t>
            </w:r>
            <w:r w:rsidR="003D34E9">
              <w:rPr>
                <w:noProof/>
                <w:webHidden/>
              </w:rPr>
              <w:tab/>
            </w:r>
            <w:r>
              <w:rPr>
                <w:noProof/>
                <w:webHidden/>
              </w:rPr>
              <w:fldChar w:fldCharType="begin"/>
            </w:r>
            <w:r w:rsidR="003D34E9">
              <w:rPr>
                <w:noProof/>
                <w:webHidden/>
              </w:rPr>
              <w:instrText xml:space="preserve"> PAGEREF _Toc356280305 \h </w:instrText>
            </w:r>
            <w:r>
              <w:rPr>
                <w:noProof/>
                <w:webHidden/>
              </w:rPr>
            </w:r>
            <w:r>
              <w:rPr>
                <w:noProof/>
                <w:webHidden/>
              </w:rPr>
              <w:fldChar w:fldCharType="separate"/>
            </w:r>
            <w:r w:rsidR="003D34E9">
              <w:rPr>
                <w:noProof/>
                <w:webHidden/>
              </w:rPr>
              <w:t>7</w:t>
            </w:r>
            <w:r>
              <w:rPr>
                <w:noProof/>
                <w:webHidden/>
              </w:rPr>
              <w:fldChar w:fldCharType="end"/>
            </w:r>
          </w:hyperlink>
        </w:p>
        <w:p w:rsidR="003D34E9" w:rsidRDefault="002C5FD5">
          <w:pPr>
            <w:pStyle w:val="11"/>
            <w:tabs>
              <w:tab w:val="right" w:leader="dot" w:pos="9345"/>
            </w:tabs>
            <w:rPr>
              <w:noProof/>
            </w:rPr>
          </w:pPr>
          <w:hyperlink w:anchor="_Toc356280306" w:history="1">
            <w:r w:rsidR="003D34E9" w:rsidRPr="00B02285">
              <w:rPr>
                <w:rStyle w:val="a7"/>
                <w:noProof/>
              </w:rPr>
              <w:t>Глава 2. Практика применения МСФО в России</w:t>
            </w:r>
            <w:r w:rsidR="003D34E9">
              <w:rPr>
                <w:noProof/>
                <w:webHidden/>
              </w:rPr>
              <w:tab/>
            </w:r>
            <w:r>
              <w:rPr>
                <w:noProof/>
                <w:webHidden/>
              </w:rPr>
              <w:fldChar w:fldCharType="begin"/>
            </w:r>
            <w:r w:rsidR="003D34E9">
              <w:rPr>
                <w:noProof/>
                <w:webHidden/>
              </w:rPr>
              <w:instrText xml:space="preserve"> PAGEREF _Toc356280306 \h </w:instrText>
            </w:r>
            <w:r>
              <w:rPr>
                <w:noProof/>
                <w:webHidden/>
              </w:rPr>
            </w:r>
            <w:r>
              <w:rPr>
                <w:noProof/>
                <w:webHidden/>
              </w:rPr>
              <w:fldChar w:fldCharType="separate"/>
            </w:r>
            <w:r w:rsidR="003D34E9">
              <w:rPr>
                <w:noProof/>
                <w:webHidden/>
              </w:rPr>
              <w:t>11</w:t>
            </w:r>
            <w:r>
              <w:rPr>
                <w:noProof/>
                <w:webHidden/>
              </w:rPr>
              <w:fldChar w:fldCharType="end"/>
            </w:r>
          </w:hyperlink>
        </w:p>
        <w:p w:rsidR="003D34E9" w:rsidRDefault="002C5FD5">
          <w:pPr>
            <w:pStyle w:val="23"/>
            <w:tabs>
              <w:tab w:val="right" w:leader="dot" w:pos="9345"/>
            </w:tabs>
            <w:rPr>
              <w:noProof/>
            </w:rPr>
          </w:pPr>
          <w:hyperlink w:anchor="_Toc356280307" w:history="1">
            <w:r w:rsidR="003D34E9" w:rsidRPr="00B02285">
              <w:rPr>
                <w:rStyle w:val="a7"/>
                <w:noProof/>
              </w:rPr>
              <w:t>История признания МСФО в России</w:t>
            </w:r>
            <w:r w:rsidR="003D34E9">
              <w:rPr>
                <w:noProof/>
                <w:webHidden/>
              </w:rPr>
              <w:tab/>
            </w:r>
            <w:r>
              <w:rPr>
                <w:noProof/>
                <w:webHidden/>
              </w:rPr>
              <w:fldChar w:fldCharType="begin"/>
            </w:r>
            <w:r w:rsidR="003D34E9">
              <w:rPr>
                <w:noProof/>
                <w:webHidden/>
              </w:rPr>
              <w:instrText xml:space="preserve"> PAGEREF _Toc356280307 \h </w:instrText>
            </w:r>
            <w:r>
              <w:rPr>
                <w:noProof/>
                <w:webHidden/>
              </w:rPr>
            </w:r>
            <w:r>
              <w:rPr>
                <w:noProof/>
                <w:webHidden/>
              </w:rPr>
              <w:fldChar w:fldCharType="separate"/>
            </w:r>
            <w:r w:rsidR="003D34E9">
              <w:rPr>
                <w:noProof/>
                <w:webHidden/>
              </w:rPr>
              <w:t>11</w:t>
            </w:r>
            <w:r>
              <w:rPr>
                <w:noProof/>
                <w:webHidden/>
              </w:rPr>
              <w:fldChar w:fldCharType="end"/>
            </w:r>
          </w:hyperlink>
        </w:p>
        <w:p w:rsidR="003D34E9" w:rsidRDefault="002C5FD5">
          <w:pPr>
            <w:pStyle w:val="23"/>
            <w:tabs>
              <w:tab w:val="right" w:leader="dot" w:pos="9345"/>
            </w:tabs>
            <w:rPr>
              <w:noProof/>
            </w:rPr>
          </w:pPr>
          <w:hyperlink w:anchor="_Toc356280308" w:history="1">
            <w:r w:rsidR="003D34E9" w:rsidRPr="00B02285">
              <w:rPr>
                <w:rStyle w:val="a7"/>
                <w:noProof/>
              </w:rPr>
              <w:t>Основные отличия МСФО от РСБУ</w:t>
            </w:r>
            <w:r w:rsidR="003D34E9">
              <w:rPr>
                <w:noProof/>
                <w:webHidden/>
              </w:rPr>
              <w:tab/>
            </w:r>
            <w:r>
              <w:rPr>
                <w:noProof/>
                <w:webHidden/>
              </w:rPr>
              <w:fldChar w:fldCharType="begin"/>
            </w:r>
            <w:r w:rsidR="003D34E9">
              <w:rPr>
                <w:noProof/>
                <w:webHidden/>
              </w:rPr>
              <w:instrText xml:space="preserve"> PAGEREF _Toc356280308 \h </w:instrText>
            </w:r>
            <w:r>
              <w:rPr>
                <w:noProof/>
                <w:webHidden/>
              </w:rPr>
            </w:r>
            <w:r>
              <w:rPr>
                <w:noProof/>
                <w:webHidden/>
              </w:rPr>
              <w:fldChar w:fldCharType="separate"/>
            </w:r>
            <w:r w:rsidR="003D34E9">
              <w:rPr>
                <w:noProof/>
                <w:webHidden/>
              </w:rPr>
              <w:t>12</w:t>
            </w:r>
            <w:r>
              <w:rPr>
                <w:noProof/>
                <w:webHidden/>
              </w:rPr>
              <w:fldChar w:fldCharType="end"/>
            </w:r>
          </w:hyperlink>
        </w:p>
        <w:p w:rsidR="003D34E9" w:rsidRDefault="002C5FD5">
          <w:pPr>
            <w:pStyle w:val="23"/>
            <w:tabs>
              <w:tab w:val="right" w:leader="dot" w:pos="9345"/>
            </w:tabs>
            <w:rPr>
              <w:noProof/>
            </w:rPr>
          </w:pPr>
          <w:hyperlink w:anchor="_Toc356280309" w:history="1">
            <w:r w:rsidR="003D34E9" w:rsidRPr="00B02285">
              <w:rPr>
                <w:rStyle w:val="a7"/>
                <w:noProof/>
              </w:rPr>
              <w:t>Методы подготовки отчётности в соответствии с МСФО</w:t>
            </w:r>
            <w:r w:rsidR="003D34E9">
              <w:rPr>
                <w:noProof/>
                <w:webHidden/>
              </w:rPr>
              <w:tab/>
            </w:r>
            <w:r>
              <w:rPr>
                <w:noProof/>
                <w:webHidden/>
              </w:rPr>
              <w:fldChar w:fldCharType="begin"/>
            </w:r>
            <w:r w:rsidR="003D34E9">
              <w:rPr>
                <w:noProof/>
                <w:webHidden/>
              </w:rPr>
              <w:instrText xml:space="preserve"> PAGEREF _Toc356280309 \h </w:instrText>
            </w:r>
            <w:r>
              <w:rPr>
                <w:noProof/>
                <w:webHidden/>
              </w:rPr>
            </w:r>
            <w:r>
              <w:rPr>
                <w:noProof/>
                <w:webHidden/>
              </w:rPr>
              <w:fldChar w:fldCharType="separate"/>
            </w:r>
            <w:r w:rsidR="003D34E9">
              <w:rPr>
                <w:noProof/>
                <w:webHidden/>
              </w:rPr>
              <w:t>14</w:t>
            </w:r>
            <w:r>
              <w:rPr>
                <w:noProof/>
                <w:webHidden/>
              </w:rPr>
              <w:fldChar w:fldCharType="end"/>
            </w:r>
          </w:hyperlink>
        </w:p>
        <w:p w:rsidR="003D34E9" w:rsidRDefault="002C5FD5">
          <w:pPr>
            <w:pStyle w:val="23"/>
            <w:tabs>
              <w:tab w:val="right" w:leader="dot" w:pos="9345"/>
            </w:tabs>
            <w:rPr>
              <w:noProof/>
            </w:rPr>
          </w:pPr>
          <w:hyperlink w:anchor="_Toc356280310" w:history="1">
            <w:r w:rsidR="003D34E9" w:rsidRPr="00B02285">
              <w:rPr>
                <w:rStyle w:val="a7"/>
                <w:noProof/>
              </w:rPr>
              <w:t>Особенности применения МСФО в телекоммуникационной отрасли</w:t>
            </w:r>
            <w:r w:rsidR="003D34E9">
              <w:rPr>
                <w:noProof/>
                <w:webHidden/>
              </w:rPr>
              <w:tab/>
            </w:r>
            <w:r>
              <w:rPr>
                <w:noProof/>
                <w:webHidden/>
              </w:rPr>
              <w:fldChar w:fldCharType="begin"/>
            </w:r>
            <w:r w:rsidR="003D34E9">
              <w:rPr>
                <w:noProof/>
                <w:webHidden/>
              </w:rPr>
              <w:instrText xml:space="preserve"> PAGEREF _Toc356280310 \h </w:instrText>
            </w:r>
            <w:r>
              <w:rPr>
                <w:noProof/>
                <w:webHidden/>
              </w:rPr>
            </w:r>
            <w:r>
              <w:rPr>
                <w:noProof/>
                <w:webHidden/>
              </w:rPr>
              <w:fldChar w:fldCharType="separate"/>
            </w:r>
            <w:r w:rsidR="003D34E9">
              <w:rPr>
                <w:noProof/>
                <w:webHidden/>
              </w:rPr>
              <w:t>15</w:t>
            </w:r>
            <w:r>
              <w:rPr>
                <w:noProof/>
                <w:webHidden/>
              </w:rPr>
              <w:fldChar w:fldCharType="end"/>
            </w:r>
          </w:hyperlink>
        </w:p>
        <w:p w:rsidR="003D34E9" w:rsidRDefault="002C5FD5">
          <w:pPr>
            <w:pStyle w:val="23"/>
            <w:tabs>
              <w:tab w:val="right" w:leader="dot" w:pos="9345"/>
            </w:tabs>
            <w:rPr>
              <w:noProof/>
            </w:rPr>
          </w:pPr>
          <w:hyperlink w:anchor="_Toc356280311" w:history="1">
            <w:r w:rsidR="003D34E9" w:rsidRPr="00B02285">
              <w:rPr>
                <w:rStyle w:val="a7"/>
                <w:noProof/>
              </w:rPr>
              <w:t>Признание выручки по МСФО</w:t>
            </w:r>
            <w:r w:rsidR="003D34E9">
              <w:rPr>
                <w:noProof/>
                <w:webHidden/>
              </w:rPr>
              <w:tab/>
            </w:r>
            <w:r>
              <w:rPr>
                <w:noProof/>
                <w:webHidden/>
              </w:rPr>
              <w:fldChar w:fldCharType="begin"/>
            </w:r>
            <w:r w:rsidR="003D34E9">
              <w:rPr>
                <w:noProof/>
                <w:webHidden/>
              </w:rPr>
              <w:instrText xml:space="preserve"> PAGEREF _Toc356280311 \h </w:instrText>
            </w:r>
            <w:r>
              <w:rPr>
                <w:noProof/>
                <w:webHidden/>
              </w:rPr>
            </w:r>
            <w:r>
              <w:rPr>
                <w:noProof/>
                <w:webHidden/>
              </w:rPr>
              <w:fldChar w:fldCharType="separate"/>
            </w:r>
            <w:r w:rsidR="003D34E9">
              <w:rPr>
                <w:noProof/>
                <w:webHidden/>
              </w:rPr>
              <w:t>16</w:t>
            </w:r>
            <w:r>
              <w:rPr>
                <w:noProof/>
                <w:webHidden/>
              </w:rPr>
              <w:fldChar w:fldCharType="end"/>
            </w:r>
          </w:hyperlink>
        </w:p>
        <w:p w:rsidR="003D34E9" w:rsidRDefault="002C5FD5">
          <w:pPr>
            <w:pStyle w:val="31"/>
            <w:tabs>
              <w:tab w:val="right" w:leader="dot" w:pos="9345"/>
            </w:tabs>
            <w:rPr>
              <w:rFonts w:eastAsiaTheme="minorEastAsia"/>
              <w:noProof/>
              <w:lang w:eastAsia="ru-RU"/>
            </w:rPr>
          </w:pPr>
          <w:hyperlink w:anchor="_Toc356280312" w:history="1">
            <w:r w:rsidR="003D34E9" w:rsidRPr="00B02285">
              <w:rPr>
                <w:rStyle w:val="a7"/>
                <w:noProof/>
              </w:rPr>
              <w:t>Признание выручки от многокомпонентных сделок</w:t>
            </w:r>
            <w:r w:rsidR="003D34E9">
              <w:rPr>
                <w:noProof/>
                <w:webHidden/>
              </w:rPr>
              <w:tab/>
            </w:r>
            <w:r>
              <w:rPr>
                <w:noProof/>
                <w:webHidden/>
              </w:rPr>
              <w:fldChar w:fldCharType="begin"/>
            </w:r>
            <w:r w:rsidR="003D34E9">
              <w:rPr>
                <w:noProof/>
                <w:webHidden/>
              </w:rPr>
              <w:instrText xml:space="preserve"> PAGEREF _Toc356280312 \h </w:instrText>
            </w:r>
            <w:r>
              <w:rPr>
                <w:noProof/>
                <w:webHidden/>
              </w:rPr>
            </w:r>
            <w:r>
              <w:rPr>
                <w:noProof/>
                <w:webHidden/>
              </w:rPr>
              <w:fldChar w:fldCharType="separate"/>
            </w:r>
            <w:r w:rsidR="003D34E9">
              <w:rPr>
                <w:noProof/>
                <w:webHidden/>
              </w:rPr>
              <w:t>16</w:t>
            </w:r>
            <w:r>
              <w:rPr>
                <w:noProof/>
                <w:webHidden/>
              </w:rPr>
              <w:fldChar w:fldCharType="end"/>
            </w:r>
          </w:hyperlink>
        </w:p>
        <w:p w:rsidR="003D34E9" w:rsidRDefault="002C5FD5">
          <w:pPr>
            <w:pStyle w:val="31"/>
            <w:tabs>
              <w:tab w:val="right" w:leader="dot" w:pos="9345"/>
            </w:tabs>
            <w:rPr>
              <w:rFonts w:eastAsiaTheme="minorEastAsia"/>
              <w:noProof/>
              <w:lang w:eastAsia="ru-RU"/>
            </w:rPr>
          </w:pPr>
          <w:hyperlink w:anchor="_Toc356280313" w:history="1">
            <w:r w:rsidR="003D34E9" w:rsidRPr="00B02285">
              <w:rPr>
                <w:rStyle w:val="a7"/>
                <w:noProof/>
              </w:rPr>
              <w:t>Влияние системы агентских отношений на признание выручки</w:t>
            </w:r>
            <w:r w:rsidR="003D34E9">
              <w:rPr>
                <w:noProof/>
                <w:webHidden/>
              </w:rPr>
              <w:tab/>
            </w:r>
            <w:r>
              <w:rPr>
                <w:noProof/>
                <w:webHidden/>
              </w:rPr>
              <w:fldChar w:fldCharType="begin"/>
            </w:r>
            <w:r w:rsidR="003D34E9">
              <w:rPr>
                <w:noProof/>
                <w:webHidden/>
              </w:rPr>
              <w:instrText xml:space="preserve"> PAGEREF _Toc356280313 \h </w:instrText>
            </w:r>
            <w:r>
              <w:rPr>
                <w:noProof/>
                <w:webHidden/>
              </w:rPr>
            </w:r>
            <w:r>
              <w:rPr>
                <w:noProof/>
                <w:webHidden/>
              </w:rPr>
              <w:fldChar w:fldCharType="separate"/>
            </w:r>
            <w:r w:rsidR="003D34E9">
              <w:rPr>
                <w:noProof/>
                <w:webHidden/>
              </w:rPr>
              <w:t>19</w:t>
            </w:r>
            <w:r>
              <w:rPr>
                <w:noProof/>
                <w:webHidden/>
              </w:rPr>
              <w:fldChar w:fldCharType="end"/>
            </w:r>
          </w:hyperlink>
        </w:p>
        <w:p w:rsidR="003D34E9" w:rsidRDefault="002C5FD5">
          <w:pPr>
            <w:pStyle w:val="11"/>
            <w:tabs>
              <w:tab w:val="right" w:leader="dot" w:pos="9345"/>
            </w:tabs>
            <w:rPr>
              <w:noProof/>
            </w:rPr>
          </w:pPr>
          <w:hyperlink w:anchor="_Toc356280314" w:history="1">
            <w:r w:rsidR="003D34E9" w:rsidRPr="00B02285">
              <w:rPr>
                <w:rStyle w:val="a7"/>
                <w:noProof/>
              </w:rPr>
              <w:t>Глава 3. Особенности учёта в соответствии с МСФО в телекоммуникационной сфере в России</w:t>
            </w:r>
            <w:r w:rsidR="003D34E9">
              <w:rPr>
                <w:noProof/>
                <w:webHidden/>
              </w:rPr>
              <w:tab/>
            </w:r>
            <w:r>
              <w:rPr>
                <w:noProof/>
                <w:webHidden/>
              </w:rPr>
              <w:fldChar w:fldCharType="begin"/>
            </w:r>
            <w:r w:rsidR="003D34E9">
              <w:rPr>
                <w:noProof/>
                <w:webHidden/>
              </w:rPr>
              <w:instrText xml:space="preserve"> PAGEREF _Toc356280314 \h </w:instrText>
            </w:r>
            <w:r>
              <w:rPr>
                <w:noProof/>
                <w:webHidden/>
              </w:rPr>
            </w:r>
            <w:r>
              <w:rPr>
                <w:noProof/>
                <w:webHidden/>
              </w:rPr>
              <w:fldChar w:fldCharType="separate"/>
            </w:r>
            <w:r w:rsidR="003D34E9">
              <w:rPr>
                <w:noProof/>
                <w:webHidden/>
              </w:rPr>
              <w:t>21</w:t>
            </w:r>
            <w:r>
              <w:rPr>
                <w:noProof/>
                <w:webHidden/>
              </w:rPr>
              <w:fldChar w:fldCharType="end"/>
            </w:r>
          </w:hyperlink>
        </w:p>
        <w:p w:rsidR="003D34E9" w:rsidRDefault="002C5FD5">
          <w:pPr>
            <w:pStyle w:val="23"/>
            <w:tabs>
              <w:tab w:val="right" w:leader="dot" w:pos="9345"/>
            </w:tabs>
            <w:rPr>
              <w:noProof/>
            </w:rPr>
          </w:pPr>
          <w:hyperlink w:anchor="_Toc356280315" w:history="1">
            <w:r w:rsidR="003D34E9" w:rsidRPr="00B02285">
              <w:rPr>
                <w:rStyle w:val="a7"/>
                <w:noProof/>
              </w:rPr>
              <w:t>Обзор телекоммуникационного рынка в России</w:t>
            </w:r>
            <w:r w:rsidR="003D34E9">
              <w:rPr>
                <w:noProof/>
                <w:webHidden/>
              </w:rPr>
              <w:tab/>
            </w:r>
            <w:r>
              <w:rPr>
                <w:noProof/>
                <w:webHidden/>
              </w:rPr>
              <w:fldChar w:fldCharType="begin"/>
            </w:r>
            <w:r w:rsidR="003D34E9">
              <w:rPr>
                <w:noProof/>
                <w:webHidden/>
              </w:rPr>
              <w:instrText xml:space="preserve"> PAGEREF _Toc356280315 \h </w:instrText>
            </w:r>
            <w:r>
              <w:rPr>
                <w:noProof/>
                <w:webHidden/>
              </w:rPr>
            </w:r>
            <w:r>
              <w:rPr>
                <w:noProof/>
                <w:webHidden/>
              </w:rPr>
              <w:fldChar w:fldCharType="separate"/>
            </w:r>
            <w:r w:rsidR="003D34E9">
              <w:rPr>
                <w:noProof/>
                <w:webHidden/>
              </w:rPr>
              <w:t>21</w:t>
            </w:r>
            <w:r>
              <w:rPr>
                <w:noProof/>
                <w:webHidden/>
              </w:rPr>
              <w:fldChar w:fldCharType="end"/>
            </w:r>
          </w:hyperlink>
        </w:p>
        <w:p w:rsidR="003D34E9" w:rsidRDefault="002C5FD5">
          <w:pPr>
            <w:pStyle w:val="23"/>
            <w:tabs>
              <w:tab w:val="right" w:leader="dot" w:pos="9345"/>
            </w:tabs>
            <w:rPr>
              <w:noProof/>
            </w:rPr>
          </w:pPr>
          <w:hyperlink w:anchor="_Toc356280332" w:history="1">
            <w:r w:rsidR="003D34E9" w:rsidRPr="00B02285">
              <w:rPr>
                <w:rStyle w:val="a7"/>
                <w:noProof/>
              </w:rPr>
              <w:t>Признание выручки по МСФО в одной из телекоммуникационных компаний</w:t>
            </w:r>
            <w:r w:rsidR="003D34E9">
              <w:rPr>
                <w:noProof/>
                <w:webHidden/>
              </w:rPr>
              <w:tab/>
            </w:r>
            <w:r>
              <w:rPr>
                <w:noProof/>
                <w:webHidden/>
              </w:rPr>
              <w:fldChar w:fldCharType="begin"/>
            </w:r>
            <w:r w:rsidR="003D34E9">
              <w:rPr>
                <w:noProof/>
                <w:webHidden/>
              </w:rPr>
              <w:instrText xml:space="preserve"> PAGEREF _Toc356280332 \h </w:instrText>
            </w:r>
            <w:r>
              <w:rPr>
                <w:noProof/>
                <w:webHidden/>
              </w:rPr>
            </w:r>
            <w:r>
              <w:rPr>
                <w:noProof/>
                <w:webHidden/>
              </w:rPr>
              <w:fldChar w:fldCharType="separate"/>
            </w:r>
            <w:r w:rsidR="003D34E9">
              <w:rPr>
                <w:noProof/>
                <w:webHidden/>
              </w:rPr>
              <w:t>24</w:t>
            </w:r>
            <w:r>
              <w:rPr>
                <w:noProof/>
                <w:webHidden/>
              </w:rPr>
              <w:fldChar w:fldCharType="end"/>
            </w:r>
          </w:hyperlink>
        </w:p>
        <w:p w:rsidR="003D34E9" w:rsidRDefault="002C5FD5">
          <w:pPr>
            <w:pStyle w:val="31"/>
            <w:tabs>
              <w:tab w:val="right" w:leader="dot" w:pos="9345"/>
            </w:tabs>
            <w:rPr>
              <w:rFonts w:eastAsiaTheme="minorEastAsia"/>
              <w:noProof/>
              <w:lang w:eastAsia="ru-RU"/>
            </w:rPr>
          </w:pPr>
          <w:hyperlink w:anchor="_Toc356280333" w:history="1">
            <w:r w:rsidR="003D34E9" w:rsidRPr="00B02285">
              <w:rPr>
                <w:rStyle w:val="a7"/>
                <w:noProof/>
              </w:rPr>
              <w:t>Пример признания выручки от многокомпонентных сделок</w:t>
            </w:r>
            <w:r w:rsidR="003D34E9">
              <w:rPr>
                <w:noProof/>
                <w:webHidden/>
              </w:rPr>
              <w:tab/>
            </w:r>
            <w:r>
              <w:rPr>
                <w:noProof/>
                <w:webHidden/>
              </w:rPr>
              <w:fldChar w:fldCharType="begin"/>
            </w:r>
            <w:r w:rsidR="003D34E9">
              <w:rPr>
                <w:noProof/>
                <w:webHidden/>
              </w:rPr>
              <w:instrText xml:space="preserve"> PAGEREF _Toc356280333 \h </w:instrText>
            </w:r>
            <w:r>
              <w:rPr>
                <w:noProof/>
                <w:webHidden/>
              </w:rPr>
            </w:r>
            <w:r>
              <w:rPr>
                <w:noProof/>
                <w:webHidden/>
              </w:rPr>
              <w:fldChar w:fldCharType="separate"/>
            </w:r>
            <w:r w:rsidR="003D34E9">
              <w:rPr>
                <w:noProof/>
                <w:webHidden/>
              </w:rPr>
              <w:t>27</w:t>
            </w:r>
            <w:r>
              <w:rPr>
                <w:noProof/>
                <w:webHidden/>
              </w:rPr>
              <w:fldChar w:fldCharType="end"/>
            </w:r>
          </w:hyperlink>
        </w:p>
        <w:p w:rsidR="003D34E9" w:rsidRDefault="002C5FD5">
          <w:pPr>
            <w:pStyle w:val="31"/>
            <w:tabs>
              <w:tab w:val="right" w:leader="dot" w:pos="9345"/>
            </w:tabs>
            <w:rPr>
              <w:rFonts w:eastAsiaTheme="minorEastAsia"/>
              <w:noProof/>
              <w:lang w:eastAsia="ru-RU"/>
            </w:rPr>
          </w:pPr>
          <w:hyperlink w:anchor="_Toc356280334" w:history="1">
            <w:r w:rsidR="003D34E9" w:rsidRPr="00B02285">
              <w:rPr>
                <w:rStyle w:val="a7"/>
                <w:noProof/>
              </w:rPr>
              <w:t>Пример применения системы агентских взаимоотношений в признании выручки</w:t>
            </w:r>
            <w:r w:rsidR="003D34E9">
              <w:rPr>
                <w:noProof/>
                <w:webHidden/>
              </w:rPr>
              <w:tab/>
            </w:r>
            <w:r>
              <w:rPr>
                <w:noProof/>
                <w:webHidden/>
              </w:rPr>
              <w:fldChar w:fldCharType="begin"/>
            </w:r>
            <w:r w:rsidR="003D34E9">
              <w:rPr>
                <w:noProof/>
                <w:webHidden/>
              </w:rPr>
              <w:instrText xml:space="preserve"> PAGEREF _Toc356280334 \h </w:instrText>
            </w:r>
            <w:r>
              <w:rPr>
                <w:noProof/>
                <w:webHidden/>
              </w:rPr>
            </w:r>
            <w:r>
              <w:rPr>
                <w:noProof/>
                <w:webHidden/>
              </w:rPr>
              <w:fldChar w:fldCharType="separate"/>
            </w:r>
            <w:r w:rsidR="003D34E9">
              <w:rPr>
                <w:noProof/>
                <w:webHidden/>
              </w:rPr>
              <w:t>29</w:t>
            </w:r>
            <w:r>
              <w:rPr>
                <w:noProof/>
                <w:webHidden/>
              </w:rPr>
              <w:fldChar w:fldCharType="end"/>
            </w:r>
          </w:hyperlink>
        </w:p>
        <w:p w:rsidR="003D34E9" w:rsidRDefault="002C5FD5">
          <w:pPr>
            <w:pStyle w:val="23"/>
            <w:tabs>
              <w:tab w:val="right" w:leader="dot" w:pos="9345"/>
            </w:tabs>
            <w:rPr>
              <w:noProof/>
            </w:rPr>
          </w:pPr>
          <w:hyperlink w:anchor="_Toc356280335" w:history="1">
            <w:r w:rsidR="003D34E9" w:rsidRPr="00B02285">
              <w:rPr>
                <w:rStyle w:val="a7"/>
                <w:noProof/>
              </w:rPr>
              <w:t>Заключение</w:t>
            </w:r>
            <w:r w:rsidR="003D34E9">
              <w:rPr>
                <w:noProof/>
                <w:webHidden/>
              </w:rPr>
              <w:tab/>
            </w:r>
            <w:r>
              <w:rPr>
                <w:noProof/>
                <w:webHidden/>
              </w:rPr>
              <w:fldChar w:fldCharType="begin"/>
            </w:r>
            <w:r w:rsidR="003D34E9">
              <w:rPr>
                <w:noProof/>
                <w:webHidden/>
              </w:rPr>
              <w:instrText xml:space="preserve"> PAGEREF _Toc356280335 \h </w:instrText>
            </w:r>
            <w:r>
              <w:rPr>
                <w:noProof/>
                <w:webHidden/>
              </w:rPr>
            </w:r>
            <w:r>
              <w:rPr>
                <w:noProof/>
                <w:webHidden/>
              </w:rPr>
              <w:fldChar w:fldCharType="separate"/>
            </w:r>
            <w:r w:rsidR="003D34E9">
              <w:rPr>
                <w:noProof/>
                <w:webHidden/>
              </w:rPr>
              <w:t>32</w:t>
            </w:r>
            <w:r>
              <w:rPr>
                <w:noProof/>
                <w:webHidden/>
              </w:rPr>
              <w:fldChar w:fldCharType="end"/>
            </w:r>
          </w:hyperlink>
        </w:p>
        <w:p w:rsidR="003D34E9" w:rsidRDefault="002C5FD5">
          <w:pPr>
            <w:pStyle w:val="23"/>
            <w:tabs>
              <w:tab w:val="right" w:leader="dot" w:pos="9345"/>
            </w:tabs>
            <w:rPr>
              <w:noProof/>
            </w:rPr>
          </w:pPr>
          <w:hyperlink w:anchor="_Toc356280336" w:history="1">
            <w:r w:rsidR="003D34E9" w:rsidRPr="00B02285">
              <w:rPr>
                <w:rStyle w:val="a7"/>
                <w:noProof/>
              </w:rPr>
              <w:t>Список литературы</w:t>
            </w:r>
            <w:r w:rsidR="003D34E9">
              <w:rPr>
                <w:noProof/>
                <w:webHidden/>
              </w:rPr>
              <w:tab/>
            </w:r>
            <w:r>
              <w:rPr>
                <w:noProof/>
                <w:webHidden/>
              </w:rPr>
              <w:fldChar w:fldCharType="begin"/>
            </w:r>
            <w:r w:rsidR="003D34E9">
              <w:rPr>
                <w:noProof/>
                <w:webHidden/>
              </w:rPr>
              <w:instrText xml:space="preserve"> PAGEREF _Toc356280336 \h </w:instrText>
            </w:r>
            <w:r>
              <w:rPr>
                <w:noProof/>
                <w:webHidden/>
              </w:rPr>
            </w:r>
            <w:r>
              <w:rPr>
                <w:noProof/>
                <w:webHidden/>
              </w:rPr>
              <w:fldChar w:fldCharType="separate"/>
            </w:r>
            <w:r w:rsidR="003D34E9">
              <w:rPr>
                <w:noProof/>
                <w:webHidden/>
              </w:rPr>
              <w:t>33</w:t>
            </w:r>
            <w:r>
              <w:rPr>
                <w:noProof/>
                <w:webHidden/>
              </w:rPr>
              <w:fldChar w:fldCharType="end"/>
            </w:r>
          </w:hyperlink>
        </w:p>
        <w:p w:rsidR="003D34E9" w:rsidRDefault="002C5FD5">
          <w:pPr>
            <w:pStyle w:val="23"/>
            <w:tabs>
              <w:tab w:val="right" w:leader="dot" w:pos="9345"/>
            </w:tabs>
            <w:rPr>
              <w:noProof/>
            </w:rPr>
          </w:pPr>
          <w:hyperlink w:anchor="_Toc356280346" w:history="1">
            <w:r w:rsidR="003D34E9" w:rsidRPr="00B02285">
              <w:rPr>
                <w:rStyle w:val="a7"/>
                <w:noProof/>
              </w:rPr>
              <w:t>Приложение 1</w:t>
            </w:r>
            <w:r w:rsidR="003D34E9">
              <w:rPr>
                <w:noProof/>
                <w:webHidden/>
              </w:rPr>
              <w:tab/>
            </w:r>
            <w:r>
              <w:rPr>
                <w:noProof/>
                <w:webHidden/>
              </w:rPr>
              <w:fldChar w:fldCharType="begin"/>
            </w:r>
            <w:r w:rsidR="003D34E9">
              <w:rPr>
                <w:noProof/>
                <w:webHidden/>
              </w:rPr>
              <w:instrText xml:space="preserve"> PAGEREF _Toc356280346 \h </w:instrText>
            </w:r>
            <w:r>
              <w:rPr>
                <w:noProof/>
                <w:webHidden/>
              </w:rPr>
            </w:r>
            <w:r>
              <w:rPr>
                <w:noProof/>
                <w:webHidden/>
              </w:rPr>
              <w:fldChar w:fldCharType="separate"/>
            </w:r>
            <w:r w:rsidR="003D34E9">
              <w:rPr>
                <w:noProof/>
                <w:webHidden/>
              </w:rPr>
              <w:t>34</w:t>
            </w:r>
            <w:r>
              <w:rPr>
                <w:noProof/>
                <w:webHidden/>
              </w:rPr>
              <w:fldChar w:fldCharType="end"/>
            </w:r>
          </w:hyperlink>
        </w:p>
        <w:p w:rsidR="003D34E9" w:rsidRDefault="002C5FD5">
          <w:r>
            <w:fldChar w:fldCharType="end"/>
          </w:r>
        </w:p>
      </w:sdtContent>
    </w:sdt>
    <w:p w:rsidR="003D34E9" w:rsidRDefault="003D34E9">
      <w:pPr>
        <w:rPr>
          <w:sz w:val="26"/>
          <w:szCs w:val="26"/>
        </w:rPr>
      </w:pPr>
    </w:p>
    <w:p w:rsidR="003D34E9" w:rsidRPr="003D34E9" w:rsidRDefault="003D34E9" w:rsidP="003D34E9">
      <w:pPr>
        <w:autoSpaceDE w:val="0"/>
        <w:autoSpaceDN w:val="0"/>
        <w:adjustRightInd w:val="0"/>
        <w:jc w:val="center"/>
        <w:rPr>
          <w:rFonts w:ascii="Calibri" w:eastAsia="Calibri" w:hAnsi="Calibri" w:cs="Times New Roman"/>
          <w:sz w:val="26"/>
          <w:szCs w:val="26"/>
        </w:rPr>
      </w:pPr>
    </w:p>
    <w:p w:rsidR="00EA35D8" w:rsidRPr="00EA35D8" w:rsidRDefault="00EA35D8" w:rsidP="00EA35D8"/>
    <w:p w:rsidR="00525828" w:rsidRDefault="00525828">
      <w:pPr>
        <w:rPr>
          <w:rFonts w:ascii="Times New Roman" w:eastAsia="Times New Roman" w:hAnsi="Times New Roman" w:cs="Times New Roman"/>
          <w:b/>
          <w:bCs/>
          <w:sz w:val="27"/>
          <w:szCs w:val="27"/>
          <w:lang w:eastAsia="ru-RU"/>
        </w:rPr>
      </w:pPr>
    </w:p>
    <w:p w:rsidR="003D34E9" w:rsidRDefault="003D34E9">
      <w:pPr>
        <w:rPr>
          <w:rFonts w:asciiTheme="majorHAnsi" w:eastAsiaTheme="majorEastAsia" w:hAnsiTheme="majorHAnsi" w:cstheme="majorBidi"/>
          <w:b/>
          <w:bCs/>
          <w:sz w:val="32"/>
          <w:szCs w:val="32"/>
        </w:rPr>
      </w:pPr>
      <w:bookmarkStart w:id="0" w:name="_Toc347844809"/>
      <w:bookmarkStart w:id="1" w:name="_Toc356280302"/>
      <w:r>
        <w:rPr>
          <w:sz w:val="32"/>
          <w:szCs w:val="32"/>
        </w:rPr>
        <w:br w:type="page"/>
      </w:r>
    </w:p>
    <w:p w:rsidR="00DA3CC6" w:rsidRPr="003D34E9" w:rsidRDefault="00DA3CC6" w:rsidP="00EF0F4F">
      <w:pPr>
        <w:pStyle w:val="1"/>
        <w:rPr>
          <w:color w:val="auto"/>
          <w:sz w:val="32"/>
          <w:szCs w:val="32"/>
        </w:rPr>
      </w:pPr>
      <w:r w:rsidRPr="00EF0F4F">
        <w:rPr>
          <w:color w:val="auto"/>
          <w:sz w:val="32"/>
          <w:szCs w:val="32"/>
        </w:rPr>
        <w:lastRenderedPageBreak/>
        <w:t>Введение</w:t>
      </w:r>
      <w:bookmarkEnd w:id="0"/>
      <w:bookmarkEnd w:id="1"/>
    </w:p>
    <w:p w:rsidR="00EF0F4F" w:rsidRPr="003D34E9" w:rsidRDefault="00EF0F4F" w:rsidP="00EF0F4F"/>
    <w:p w:rsidR="000A467F" w:rsidRPr="000A467F" w:rsidRDefault="000A467F" w:rsidP="000A467F">
      <w:pPr>
        <w:spacing w:line="360" w:lineRule="auto"/>
        <w:ind w:firstLine="567"/>
        <w:jc w:val="both"/>
        <w:rPr>
          <w:rFonts w:ascii="Times New Roman" w:hAnsi="Times New Roman" w:cs="Times New Roman"/>
          <w:sz w:val="28"/>
          <w:szCs w:val="28"/>
        </w:rPr>
      </w:pPr>
      <w:r w:rsidRPr="000A467F">
        <w:rPr>
          <w:rFonts w:ascii="Times New Roman" w:hAnsi="Times New Roman" w:cs="Times New Roman"/>
          <w:sz w:val="28"/>
          <w:szCs w:val="28"/>
        </w:rPr>
        <w:t xml:space="preserve">        Ни для кого не секрет, что глобализация в экономической сфере затронула и многие российские компании. Они являются полноправными участниками мирового рынка, и им приходится играть по общим правилам. Одним из основных таких правил </w:t>
      </w:r>
      <w:r w:rsidR="001505B0">
        <w:rPr>
          <w:rFonts w:ascii="Times New Roman" w:hAnsi="Times New Roman" w:cs="Times New Roman"/>
          <w:sz w:val="28"/>
          <w:szCs w:val="28"/>
        </w:rPr>
        <w:t>является представление сопоставимой с другими участниками рынка финансовой отчетности. Выходя на международные рынки капитала, компании должны понимать, что их отчетность будет сравниваться с отчетностью международных компаний.</w:t>
      </w:r>
    </w:p>
    <w:p w:rsidR="00A83A86" w:rsidRDefault="00A83A86" w:rsidP="00CD4627">
      <w:pPr>
        <w:spacing w:line="360" w:lineRule="auto"/>
        <w:ind w:firstLine="567"/>
        <w:jc w:val="both"/>
        <w:rPr>
          <w:rFonts w:ascii="Times New Roman" w:hAnsi="Times New Roman" w:cs="Times New Roman"/>
          <w:sz w:val="28"/>
          <w:szCs w:val="28"/>
        </w:rPr>
      </w:pPr>
      <w:r w:rsidRPr="00A83A86">
        <w:rPr>
          <w:rFonts w:ascii="Times New Roman" w:hAnsi="Times New Roman" w:cs="Times New Roman"/>
          <w:sz w:val="28"/>
          <w:szCs w:val="28"/>
        </w:rPr>
        <w:t xml:space="preserve">В </w:t>
      </w:r>
      <w:r w:rsidR="000A467F">
        <w:rPr>
          <w:rFonts w:ascii="Times New Roman" w:hAnsi="Times New Roman" w:cs="Times New Roman"/>
          <w:sz w:val="28"/>
          <w:szCs w:val="28"/>
        </w:rPr>
        <w:t xml:space="preserve">связи с этим, в </w:t>
      </w:r>
      <w:r w:rsidRPr="00A83A86">
        <w:rPr>
          <w:rFonts w:ascii="Times New Roman" w:hAnsi="Times New Roman" w:cs="Times New Roman"/>
          <w:sz w:val="28"/>
          <w:szCs w:val="28"/>
        </w:rPr>
        <w:t>последние годы</w:t>
      </w:r>
      <w:r>
        <w:rPr>
          <w:rFonts w:ascii="Times New Roman" w:hAnsi="Times New Roman" w:cs="Times New Roman"/>
          <w:sz w:val="28"/>
          <w:szCs w:val="28"/>
        </w:rPr>
        <w:t xml:space="preserve"> </w:t>
      </w:r>
      <w:r w:rsidR="000A467F">
        <w:rPr>
          <w:rFonts w:ascii="Times New Roman" w:hAnsi="Times New Roman" w:cs="Times New Roman"/>
          <w:sz w:val="28"/>
          <w:szCs w:val="28"/>
        </w:rPr>
        <w:t xml:space="preserve">система финансового учета и отчетности в Российской Федерации </w:t>
      </w:r>
      <w:r w:rsidR="004D0017">
        <w:rPr>
          <w:rFonts w:ascii="Times New Roman" w:hAnsi="Times New Roman" w:cs="Times New Roman"/>
          <w:sz w:val="28"/>
          <w:szCs w:val="28"/>
        </w:rPr>
        <w:t>претерпела существенные изменения</w:t>
      </w:r>
      <w:r w:rsidR="001505B0">
        <w:rPr>
          <w:rFonts w:ascii="Times New Roman" w:hAnsi="Times New Roman" w:cs="Times New Roman"/>
          <w:sz w:val="28"/>
          <w:szCs w:val="28"/>
        </w:rPr>
        <w:t>. Изменялись как сами стандарты Российского бухгалтерского учета – положения о бухгалтерском учете (ПБУ). М</w:t>
      </w:r>
      <w:r w:rsidR="000A467F">
        <w:rPr>
          <w:rFonts w:ascii="Times New Roman" w:hAnsi="Times New Roman" w:cs="Times New Roman"/>
          <w:sz w:val="28"/>
          <w:szCs w:val="28"/>
        </w:rPr>
        <w:t>ногим копаниям, особенно социально значимым, необходимо</w:t>
      </w:r>
      <w:r w:rsidR="00CD4627">
        <w:rPr>
          <w:rFonts w:ascii="Times New Roman" w:hAnsi="Times New Roman" w:cs="Times New Roman"/>
          <w:sz w:val="28"/>
          <w:szCs w:val="28"/>
        </w:rPr>
        <w:t xml:space="preserve"> </w:t>
      </w:r>
      <w:r w:rsidR="001505B0">
        <w:rPr>
          <w:rFonts w:ascii="Times New Roman" w:hAnsi="Times New Roman" w:cs="Times New Roman"/>
          <w:sz w:val="28"/>
          <w:szCs w:val="28"/>
        </w:rPr>
        <w:t xml:space="preserve">дополнительно </w:t>
      </w:r>
      <w:r w:rsidR="000A467F">
        <w:rPr>
          <w:rFonts w:ascii="Times New Roman" w:hAnsi="Times New Roman" w:cs="Times New Roman"/>
          <w:sz w:val="28"/>
          <w:szCs w:val="28"/>
        </w:rPr>
        <w:t xml:space="preserve">предоставлять </w:t>
      </w:r>
      <w:r w:rsidR="00CD4627">
        <w:rPr>
          <w:rFonts w:ascii="Times New Roman" w:hAnsi="Times New Roman" w:cs="Times New Roman"/>
          <w:sz w:val="28"/>
          <w:szCs w:val="28"/>
        </w:rPr>
        <w:t>отчётность в формате международных стандартов бухгалтерского отчёта (МСФО). Более того, с 201</w:t>
      </w:r>
      <w:r w:rsidR="001505B0">
        <w:rPr>
          <w:rFonts w:ascii="Times New Roman" w:hAnsi="Times New Roman" w:cs="Times New Roman"/>
          <w:sz w:val="28"/>
          <w:szCs w:val="28"/>
        </w:rPr>
        <w:t>2</w:t>
      </w:r>
      <w:r w:rsidR="00CD4627">
        <w:rPr>
          <w:rFonts w:ascii="Times New Roman" w:hAnsi="Times New Roman" w:cs="Times New Roman"/>
          <w:sz w:val="28"/>
          <w:szCs w:val="28"/>
        </w:rPr>
        <w:t xml:space="preserve"> года некоторые компании обязаны это делать</w:t>
      </w:r>
      <w:r w:rsidR="00CD4627">
        <w:rPr>
          <w:rStyle w:val="a6"/>
          <w:rFonts w:ascii="Times New Roman" w:hAnsi="Times New Roman" w:cs="Times New Roman"/>
          <w:sz w:val="28"/>
          <w:szCs w:val="28"/>
        </w:rPr>
        <w:footnoteReference w:id="1"/>
      </w:r>
      <w:r w:rsidR="00CD4627">
        <w:rPr>
          <w:rFonts w:ascii="Times New Roman" w:hAnsi="Times New Roman" w:cs="Times New Roman"/>
          <w:sz w:val="28"/>
          <w:szCs w:val="28"/>
        </w:rPr>
        <w:t xml:space="preserve">. </w:t>
      </w:r>
    </w:p>
    <w:p w:rsidR="00CA570A" w:rsidRDefault="00CA570A" w:rsidP="00CD462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своей работе я рассмотрю </w:t>
      </w:r>
      <w:r w:rsidR="001505B0">
        <w:rPr>
          <w:rFonts w:ascii="Times New Roman" w:hAnsi="Times New Roman" w:cs="Times New Roman"/>
          <w:sz w:val="28"/>
          <w:szCs w:val="28"/>
        </w:rPr>
        <w:t>особенности</w:t>
      </w:r>
      <w:r>
        <w:rPr>
          <w:rFonts w:ascii="Times New Roman" w:hAnsi="Times New Roman" w:cs="Times New Roman"/>
          <w:sz w:val="28"/>
          <w:szCs w:val="28"/>
        </w:rPr>
        <w:t xml:space="preserve"> применения МСФО в </w:t>
      </w:r>
      <w:r w:rsidR="00DA3CC6">
        <w:rPr>
          <w:rFonts w:ascii="Times New Roman" w:hAnsi="Times New Roman" w:cs="Times New Roman"/>
          <w:sz w:val="28"/>
          <w:szCs w:val="28"/>
        </w:rPr>
        <w:t xml:space="preserve">одной из крупнейших отраслей экономики России – телекоммуникациях, </w:t>
      </w:r>
      <w:r>
        <w:rPr>
          <w:rFonts w:ascii="Times New Roman" w:hAnsi="Times New Roman" w:cs="Times New Roman"/>
          <w:sz w:val="28"/>
          <w:szCs w:val="28"/>
        </w:rPr>
        <w:t>для чего решу следующие задачи:</w:t>
      </w:r>
    </w:p>
    <w:p w:rsidR="00CA570A" w:rsidRDefault="00CA570A" w:rsidP="00CA570A">
      <w:pPr>
        <w:pStyle w:val="a3"/>
        <w:numPr>
          <w:ilvl w:val="0"/>
          <w:numId w:val="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Расскажу об </w:t>
      </w:r>
      <w:r w:rsidR="00DB49B7">
        <w:rPr>
          <w:rFonts w:ascii="Times New Roman" w:hAnsi="Times New Roman" w:cs="Times New Roman"/>
          <w:sz w:val="28"/>
          <w:szCs w:val="28"/>
        </w:rPr>
        <w:t xml:space="preserve">общем содержании и применении </w:t>
      </w:r>
      <w:r>
        <w:rPr>
          <w:rFonts w:ascii="Times New Roman" w:hAnsi="Times New Roman" w:cs="Times New Roman"/>
          <w:sz w:val="28"/>
          <w:szCs w:val="28"/>
        </w:rPr>
        <w:t>МСФО, выделяя важные моменты (кто и с</w:t>
      </w:r>
      <w:r w:rsidR="00DA3CC6">
        <w:rPr>
          <w:rFonts w:ascii="Times New Roman" w:hAnsi="Times New Roman" w:cs="Times New Roman"/>
          <w:sz w:val="28"/>
          <w:szCs w:val="28"/>
        </w:rPr>
        <w:t xml:space="preserve"> </w:t>
      </w:r>
      <w:r>
        <w:rPr>
          <w:rFonts w:ascii="Times New Roman" w:hAnsi="Times New Roman" w:cs="Times New Roman"/>
          <w:sz w:val="28"/>
          <w:szCs w:val="28"/>
        </w:rPr>
        <w:t>какой целью разрабатывает, какие стандарты действуют в настоящее время в мире и в России);</w:t>
      </w:r>
    </w:p>
    <w:p w:rsidR="00DB49B7" w:rsidRDefault="00DB49B7" w:rsidP="00CA570A">
      <w:pPr>
        <w:pStyle w:val="a3"/>
        <w:numPr>
          <w:ilvl w:val="0"/>
          <w:numId w:val="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Разберу состав финансовой отчётности в соответствии с МСФО;</w:t>
      </w:r>
    </w:p>
    <w:p w:rsidR="00CA570A" w:rsidRDefault="00CA570A" w:rsidP="00CA570A">
      <w:pPr>
        <w:pStyle w:val="a3"/>
        <w:numPr>
          <w:ilvl w:val="0"/>
          <w:numId w:val="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Рассмотрю различные аспекты МСФО сравнительно с РСБУ, дам общую оценку  тем и другим стандартам;</w:t>
      </w:r>
    </w:p>
    <w:p w:rsidR="00CA570A" w:rsidRDefault="00CA570A" w:rsidP="00CA570A">
      <w:pPr>
        <w:pStyle w:val="a3"/>
        <w:numPr>
          <w:ilvl w:val="0"/>
          <w:numId w:val="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Дам объяснение тому, зачем Минфин обязал некоторые российские компании подготавливать отчётность в соответствии с МСФО;</w:t>
      </w:r>
    </w:p>
    <w:p w:rsidR="00DA3CC6" w:rsidRDefault="00DA3CC6" w:rsidP="00CA570A">
      <w:pPr>
        <w:pStyle w:val="a3"/>
        <w:numPr>
          <w:ilvl w:val="0"/>
          <w:numId w:val="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Проведу обзор </w:t>
      </w:r>
      <w:r w:rsidR="000A467F">
        <w:rPr>
          <w:rFonts w:ascii="Times New Roman" w:hAnsi="Times New Roman" w:cs="Times New Roman"/>
          <w:sz w:val="28"/>
          <w:szCs w:val="28"/>
        </w:rPr>
        <w:t xml:space="preserve">основных игроков </w:t>
      </w:r>
      <w:r>
        <w:rPr>
          <w:rFonts w:ascii="Times New Roman" w:hAnsi="Times New Roman" w:cs="Times New Roman"/>
          <w:sz w:val="28"/>
          <w:szCs w:val="28"/>
        </w:rPr>
        <w:t>рынка телекоммуникационных услуг в России, делая основной акцент на компании, использующие МСФО в подготовке отчётности;</w:t>
      </w:r>
    </w:p>
    <w:p w:rsidR="00DA3CC6" w:rsidRDefault="00DA3CC6" w:rsidP="00DA3CC6">
      <w:pPr>
        <w:pStyle w:val="a3"/>
        <w:numPr>
          <w:ilvl w:val="0"/>
          <w:numId w:val="1"/>
        </w:numPr>
        <w:spacing w:before="24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Рассмотрю практическое применение МСФО в телекоммуникационном секторе на примере ОАО «Вымпелком» (Бизнес-единица Россия)</w:t>
      </w:r>
    </w:p>
    <w:p w:rsidR="00DA3CC6" w:rsidRDefault="00DA3CC6" w:rsidP="00DA3CC6">
      <w:pPr>
        <w:pStyle w:val="a3"/>
        <w:numPr>
          <w:ilvl w:val="0"/>
          <w:numId w:val="1"/>
        </w:numPr>
        <w:spacing w:before="24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Охарактеризую нужность и важность применения МСФО для составления отчётности крупных компаний телекоммуникационного сектора в России.</w:t>
      </w:r>
    </w:p>
    <w:p w:rsidR="00DA3CC6" w:rsidRDefault="00DA3CC6" w:rsidP="00DA3CC6">
      <w:pPr>
        <w:pStyle w:val="a3"/>
        <w:spacing w:before="24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Таким образом, я проведу комплексное исследование МСФО применительно к одной отрасли российской экономики, но надеюсь, что оно будет в той или иной мере применимо ко многим другим отраслям.</w:t>
      </w:r>
    </w:p>
    <w:p w:rsidR="00DA3CC6" w:rsidRDefault="00DA3CC6">
      <w:pPr>
        <w:rPr>
          <w:rFonts w:ascii="Times New Roman" w:hAnsi="Times New Roman" w:cs="Times New Roman"/>
          <w:sz w:val="28"/>
          <w:szCs w:val="28"/>
        </w:rPr>
      </w:pPr>
      <w:r>
        <w:rPr>
          <w:rFonts w:ascii="Times New Roman" w:hAnsi="Times New Roman" w:cs="Times New Roman"/>
          <w:sz w:val="28"/>
          <w:szCs w:val="28"/>
        </w:rPr>
        <w:br w:type="page"/>
      </w:r>
    </w:p>
    <w:p w:rsidR="0099584E" w:rsidRPr="00EF0F4F" w:rsidRDefault="00D67A0C" w:rsidP="00EF0F4F">
      <w:pPr>
        <w:pStyle w:val="1"/>
        <w:rPr>
          <w:color w:val="auto"/>
          <w:sz w:val="32"/>
          <w:szCs w:val="32"/>
        </w:rPr>
      </w:pPr>
      <w:bookmarkStart w:id="2" w:name="_Toc347844810"/>
      <w:bookmarkStart w:id="3" w:name="_Toc356280303"/>
      <w:r w:rsidRPr="00EF0F4F">
        <w:rPr>
          <w:color w:val="auto"/>
          <w:sz w:val="32"/>
          <w:szCs w:val="32"/>
        </w:rPr>
        <w:lastRenderedPageBreak/>
        <w:t>Глава 1</w:t>
      </w:r>
      <w:r w:rsidR="00525828" w:rsidRPr="00EF0F4F">
        <w:rPr>
          <w:color w:val="auto"/>
          <w:sz w:val="32"/>
          <w:szCs w:val="32"/>
        </w:rPr>
        <w:t xml:space="preserve">. </w:t>
      </w:r>
      <w:r w:rsidRPr="00EF0F4F">
        <w:rPr>
          <w:color w:val="auto"/>
          <w:sz w:val="32"/>
          <w:szCs w:val="32"/>
        </w:rPr>
        <w:t>Происхождение, цель и значение МСФО в мировой экономике</w:t>
      </w:r>
      <w:bookmarkEnd w:id="2"/>
      <w:bookmarkEnd w:id="3"/>
    </w:p>
    <w:p w:rsidR="00D46156" w:rsidRPr="00EF0F4F" w:rsidRDefault="0099584E" w:rsidP="00EF0F4F">
      <w:pPr>
        <w:pStyle w:val="2"/>
        <w:rPr>
          <w:color w:val="auto"/>
        </w:rPr>
      </w:pPr>
      <w:bookmarkStart w:id="4" w:name="_Toc356280304"/>
      <w:r w:rsidRPr="00EF0F4F">
        <w:rPr>
          <w:color w:val="auto"/>
        </w:rPr>
        <w:t>Происхождение МСФО</w:t>
      </w:r>
      <w:bookmarkEnd w:id="4"/>
    </w:p>
    <w:p w:rsidR="00542D90" w:rsidRDefault="00D46156" w:rsidP="00DA3CC6">
      <w:pPr>
        <w:pStyle w:val="a3"/>
        <w:spacing w:before="24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История МСФО берёт начало в 1966 году, когда президент </w:t>
      </w:r>
      <w:r>
        <w:rPr>
          <w:rFonts w:ascii="Times New Roman" w:hAnsi="Times New Roman" w:cs="Times New Roman"/>
          <w:sz w:val="28"/>
          <w:szCs w:val="28"/>
          <w:lang w:val="en-US"/>
        </w:rPr>
        <w:t>ICAEW</w:t>
      </w:r>
      <w:r>
        <w:rPr>
          <w:rStyle w:val="a6"/>
          <w:rFonts w:ascii="Times New Roman" w:hAnsi="Times New Roman" w:cs="Times New Roman"/>
          <w:sz w:val="28"/>
          <w:szCs w:val="28"/>
          <w:lang w:val="en-US"/>
        </w:rPr>
        <w:footnoteReference w:id="2"/>
      </w:r>
      <w:r w:rsidRPr="00D46156">
        <w:rPr>
          <w:rFonts w:ascii="Times New Roman" w:hAnsi="Times New Roman" w:cs="Times New Roman"/>
          <w:sz w:val="28"/>
          <w:szCs w:val="28"/>
        </w:rPr>
        <w:t xml:space="preserve"> </w:t>
      </w:r>
      <w:r>
        <w:rPr>
          <w:rFonts w:ascii="Times New Roman" w:hAnsi="Times New Roman" w:cs="Times New Roman"/>
          <w:sz w:val="28"/>
          <w:szCs w:val="28"/>
        </w:rPr>
        <w:t xml:space="preserve">Генри Бенсон обнародовал идею </w:t>
      </w:r>
      <w:proofErr w:type="gramStart"/>
      <w:r>
        <w:rPr>
          <w:rFonts w:ascii="Times New Roman" w:hAnsi="Times New Roman" w:cs="Times New Roman"/>
          <w:sz w:val="28"/>
          <w:szCs w:val="28"/>
        </w:rPr>
        <w:t>создания Международной группы изучения проблем бухгалтерского учёта</w:t>
      </w:r>
      <w:proofErr w:type="gramEnd"/>
      <w:r>
        <w:rPr>
          <w:rFonts w:ascii="Times New Roman" w:hAnsi="Times New Roman" w:cs="Times New Roman"/>
          <w:sz w:val="28"/>
          <w:szCs w:val="28"/>
        </w:rPr>
        <w:t xml:space="preserve"> и приведения в соответствие принципов и процедур бухгалтерского учёта и аудита на ежегодной конференции Канадского инстит</w:t>
      </w:r>
      <w:r w:rsidR="00542D90">
        <w:rPr>
          <w:rFonts w:ascii="Times New Roman" w:hAnsi="Times New Roman" w:cs="Times New Roman"/>
          <w:sz w:val="28"/>
          <w:szCs w:val="28"/>
        </w:rPr>
        <w:t xml:space="preserve">ута дипломированных бухгалтеров. </w:t>
      </w:r>
      <w:r>
        <w:rPr>
          <w:rFonts w:ascii="Times New Roman" w:hAnsi="Times New Roman" w:cs="Times New Roman"/>
          <w:sz w:val="28"/>
          <w:szCs w:val="28"/>
        </w:rPr>
        <w:t xml:space="preserve">Такая группа вскоре была создана и успешно работала в течение 10 лет, но простого изучения и сравнения учётных практик было недостаточно. И в 1972 году на Х всемирном конгрессе бухгалтеров Генри Бенсон предложил </w:t>
      </w:r>
      <w:r w:rsidR="00542D90">
        <w:rPr>
          <w:rFonts w:ascii="Times New Roman" w:hAnsi="Times New Roman" w:cs="Times New Roman"/>
          <w:sz w:val="28"/>
          <w:szCs w:val="28"/>
        </w:rPr>
        <w:t xml:space="preserve">создать на основе этой группы организацию, которая бы отвечала за подготовку Международных стандартов финансовой отчётности. </w:t>
      </w:r>
      <w:proofErr w:type="gramStart"/>
      <w:r w:rsidR="00542D90">
        <w:rPr>
          <w:rFonts w:ascii="Times New Roman" w:hAnsi="Times New Roman" w:cs="Times New Roman"/>
          <w:sz w:val="28"/>
          <w:szCs w:val="28"/>
        </w:rPr>
        <w:t>Такой организацией стал Комитет по МСФО, созданный профессиональными бухгалтерскими организациями Австралии, Канады, Франции, Германии, Японии, Мексики, Нидерландов, Великобритании, Ирландии и США.</w:t>
      </w:r>
      <w:proofErr w:type="gramEnd"/>
      <w:r w:rsidR="00542D90">
        <w:rPr>
          <w:rFonts w:ascii="Times New Roman" w:hAnsi="Times New Roman" w:cs="Times New Roman"/>
          <w:sz w:val="28"/>
          <w:szCs w:val="28"/>
        </w:rPr>
        <w:t xml:space="preserve"> С1983 г. Комитет включает все профессиональные бухгалтерские организации, которые являлись членами </w:t>
      </w:r>
      <w:r w:rsidR="00542D90">
        <w:rPr>
          <w:rFonts w:ascii="Times New Roman" w:hAnsi="Times New Roman" w:cs="Times New Roman"/>
          <w:sz w:val="28"/>
          <w:szCs w:val="28"/>
          <w:lang w:val="en-US"/>
        </w:rPr>
        <w:t>IFAC</w:t>
      </w:r>
      <w:r w:rsidR="00542D90">
        <w:rPr>
          <w:rStyle w:val="a6"/>
          <w:rFonts w:ascii="Times New Roman" w:hAnsi="Times New Roman" w:cs="Times New Roman"/>
          <w:sz w:val="28"/>
          <w:szCs w:val="28"/>
          <w:lang w:val="en-US"/>
        </w:rPr>
        <w:footnoteReference w:id="3"/>
      </w:r>
      <w:r w:rsidR="00542D90">
        <w:rPr>
          <w:rFonts w:ascii="Times New Roman" w:hAnsi="Times New Roman" w:cs="Times New Roman"/>
          <w:sz w:val="28"/>
          <w:szCs w:val="28"/>
        </w:rPr>
        <w:t>. Задача КМСФО заключалась в разработке и публикации в общественных интересах МСФО, которые применялись бы при составлении публикуемой финансовой отчётности, а также в содействии к их принятию и соблюдению на международном уровне</w:t>
      </w:r>
      <w:r w:rsidR="00542D90">
        <w:rPr>
          <w:rStyle w:val="a6"/>
          <w:rFonts w:ascii="Times New Roman" w:hAnsi="Times New Roman" w:cs="Times New Roman"/>
          <w:sz w:val="28"/>
          <w:szCs w:val="28"/>
        </w:rPr>
        <w:footnoteReference w:id="4"/>
      </w:r>
      <w:r w:rsidR="00542D90">
        <w:rPr>
          <w:rFonts w:ascii="Times New Roman" w:hAnsi="Times New Roman" w:cs="Times New Roman"/>
          <w:sz w:val="28"/>
          <w:szCs w:val="28"/>
        </w:rPr>
        <w:t>.</w:t>
      </w:r>
      <w:r w:rsidR="00454499">
        <w:rPr>
          <w:rFonts w:ascii="Times New Roman" w:hAnsi="Times New Roman" w:cs="Times New Roman"/>
          <w:sz w:val="28"/>
          <w:szCs w:val="28"/>
        </w:rPr>
        <w:t xml:space="preserve"> </w:t>
      </w:r>
    </w:p>
    <w:p w:rsidR="0099584E" w:rsidRPr="00715E40" w:rsidRDefault="00454499" w:rsidP="0007612E">
      <w:pPr>
        <w:pStyle w:val="a3"/>
        <w:spacing w:before="24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На момент переформирования  Комитета по МСФО (КМСФО) в </w:t>
      </w:r>
      <w:r w:rsidR="0007612E">
        <w:rPr>
          <w:rFonts w:ascii="Times New Roman" w:hAnsi="Times New Roman" w:cs="Times New Roman"/>
          <w:sz w:val="28"/>
          <w:szCs w:val="28"/>
        </w:rPr>
        <w:t xml:space="preserve">Совет </w:t>
      </w:r>
      <w:r>
        <w:rPr>
          <w:rFonts w:ascii="Times New Roman" w:hAnsi="Times New Roman" w:cs="Times New Roman"/>
          <w:sz w:val="28"/>
          <w:szCs w:val="28"/>
        </w:rPr>
        <w:t>КМСФО в 2001 г. в его состав входили 153 члена из 112 стран</w:t>
      </w:r>
      <w:r>
        <w:rPr>
          <w:rStyle w:val="a6"/>
          <w:rFonts w:ascii="Times New Roman" w:hAnsi="Times New Roman" w:cs="Times New Roman"/>
          <w:sz w:val="28"/>
          <w:szCs w:val="28"/>
        </w:rPr>
        <w:footnoteReference w:id="5"/>
      </w:r>
      <w:r>
        <w:rPr>
          <w:rFonts w:ascii="Times New Roman" w:hAnsi="Times New Roman" w:cs="Times New Roman"/>
          <w:sz w:val="28"/>
          <w:szCs w:val="28"/>
        </w:rPr>
        <w:t xml:space="preserve">. </w:t>
      </w:r>
      <w:r w:rsidR="0007612E">
        <w:rPr>
          <w:rFonts w:ascii="Times New Roman" w:hAnsi="Times New Roman" w:cs="Times New Roman"/>
          <w:sz w:val="28"/>
          <w:szCs w:val="28"/>
        </w:rPr>
        <w:t xml:space="preserve">Совет КМСФО (Правление) состоит из 16 человек и является частью Фонда КМСФО. Я считаю именно Правление преемником КМСФО, так как именно эти люди утверждают МСФО. </w:t>
      </w:r>
      <w:r w:rsidR="00A25D5C">
        <w:rPr>
          <w:rFonts w:ascii="Times New Roman" w:hAnsi="Times New Roman" w:cs="Times New Roman"/>
          <w:sz w:val="28"/>
          <w:szCs w:val="28"/>
        </w:rPr>
        <w:t xml:space="preserve">В </w:t>
      </w:r>
      <w:r w:rsidR="0099584E">
        <w:rPr>
          <w:rFonts w:ascii="Times New Roman" w:hAnsi="Times New Roman" w:cs="Times New Roman"/>
          <w:sz w:val="28"/>
          <w:szCs w:val="28"/>
        </w:rPr>
        <w:t xml:space="preserve">настоящее время структуру </w:t>
      </w:r>
      <w:r w:rsidR="00A25D5C">
        <w:rPr>
          <w:rFonts w:ascii="Times New Roman" w:hAnsi="Times New Roman" w:cs="Times New Roman"/>
          <w:sz w:val="28"/>
          <w:szCs w:val="28"/>
        </w:rPr>
        <w:t>Фонда</w:t>
      </w:r>
      <w:r w:rsidR="0099584E">
        <w:rPr>
          <w:rFonts w:ascii="Times New Roman" w:hAnsi="Times New Roman" w:cs="Times New Roman"/>
          <w:sz w:val="28"/>
          <w:szCs w:val="28"/>
        </w:rPr>
        <w:t xml:space="preserve"> КМСФО можно представить следующим образом</w:t>
      </w:r>
      <w:r w:rsidR="00715E40">
        <w:rPr>
          <w:rFonts w:ascii="Times New Roman" w:hAnsi="Times New Roman" w:cs="Times New Roman"/>
          <w:sz w:val="28"/>
          <w:szCs w:val="28"/>
        </w:rPr>
        <w:t xml:space="preserve"> (</w:t>
      </w:r>
      <w:proofErr w:type="gramStart"/>
      <w:r w:rsidR="00715E40">
        <w:rPr>
          <w:rFonts w:ascii="Times New Roman" w:hAnsi="Times New Roman" w:cs="Times New Roman"/>
          <w:sz w:val="28"/>
          <w:szCs w:val="28"/>
        </w:rPr>
        <w:t>см</w:t>
      </w:r>
      <w:proofErr w:type="gramEnd"/>
      <w:r w:rsidR="00715E40">
        <w:rPr>
          <w:rFonts w:ascii="Times New Roman" w:hAnsi="Times New Roman" w:cs="Times New Roman"/>
          <w:sz w:val="28"/>
          <w:szCs w:val="28"/>
        </w:rPr>
        <w:t>. Рис 1)</w:t>
      </w:r>
      <w:r w:rsidR="0099584E">
        <w:rPr>
          <w:rFonts w:ascii="Times New Roman" w:hAnsi="Times New Roman" w:cs="Times New Roman"/>
          <w:sz w:val="28"/>
          <w:szCs w:val="28"/>
        </w:rPr>
        <w:t>:</w:t>
      </w:r>
    </w:p>
    <w:p w:rsidR="00715E40" w:rsidRDefault="00715E40" w:rsidP="00715E40">
      <w:pPr>
        <w:autoSpaceDE w:val="0"/>
        <w:autoSpaceDN w:val="0"/>
        <w:adjustRightInd w:val="0"/>
        <w:spacing w:after="0" w:line="240" w:lineRule="auto"/>
        <w:rPr>
          <w:rFonts w:ascii="FreeSetDemiBold" w:hAnsi="FreeSetDemiBold" w:cs="FreeSetDemiBold"/>
          <w:b/>
          <w:bCs/>
          <w:color w:val="FFFFFF"/>
          <w:sz w:val="12"/>
          <w:szCs w:val="12"/>
        </w:rPr>
      </w:pPr>
      <w:r>
        <w:rPr>
          <w:rFonts w:ascii="FreeSetDemiBold" w:hAnsi="FreeSetDemiBold" w:cs="FreeSetDemiBold"/>
          <w:b/>
          <w:bCs/>
          <w:color w:val="FFFFFF"/>
          <w:sz w:val="12"/>
          <w:szCs w:val="12"/>
        </w:rPr>
        <w:lastRenderedPageBreak/>
        <w:t>Наблюдательный Совет</w:t>
      </w:r>
    </w:p>
    <w:p w:rsidR="0099584E" w:rsidRDefault="00715E40" w:rsidP="00454499">
      <w:pPr>
        <w:pStyle w:val="a3"/>
        <w:spacing w:before="240" w:line="360" w:lineRule="auto"/>
        <w:ind w:left="0" w:firstLine="28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62500" cy="57340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762500" cy="5734050"/>
                    </a:xfrm>
                    <a:prstGeom prst="rect">
                      <a:avLst/>
                    </a:prstGeom>
                    <a:noFill/>
                    <a:ln w="9525">
                      <a:noFill/>
                      <a:miter lim="800000"/>
                      <a:headEnd/>
                      <a:tailEnd/>
                    </a:ln>
                  </pic:spPr>
                </pic:pic>
              </a:graphicData>
            </a:graphic>
          </wp:inline>
        </w:drawing>
      </w:r>
    </w:p>
    <w:p w:rsidR="00715E40" w:rsidRPr="00715E40" w:rsidRDefault="00715E40" w:rsidP="00454499">
      <w:pPr>
        <w:pStyle w:val="a3"/>
        <w:spacing w:before="240" w:line="360" w:lineRule="auto"/>
        <w:ind w:left="0" w:firstLine="284"/>
        <w:jc w:val="both"/>
        <w:rPr>
          <w:rFonts w:ascii="Times New Roman" w:hAnsi="Times New Roman" w:cs="Times New Roman"/>
          <w:sz w:val="24"/>
          <w:szCs w:val="24"/>
        </w:rPr>
      </w:pPr>
      <w:r w:rsidRPr="00715E40">
        <w:rPr>
          <w:rFonts w:ascii="Times New Roman" w:hAnsi="Times New Roman" w:cs="Times New Roman"/>
          <w:sz w:val="24"/>
          <w:szCs w:val="24"/>
        </w:rPr>
        <w:t xml:space="preserve">Рис. 1 </w:t>
      </w:r>
      <w:r w:rsidRPr="00715E40">
        <w:rPr>
          <w:rFonts w:ascii="Times New Roman" w:hAnsi="Times New Roman" w:cs="Times New Roman"/>
          <w:i/>
          <w:sz w:val="24"/>
          <w:szCs w:val="24"/>
        </w:rPr>
        <w:t>Структура органов МСФО</w:t>
      </w:r>
      <w:r>
        <w:rPr>
          <w:rStyle w:val="a6"/>
          <w:rFonts w:ascii="Times New Roman" w:hAnsi="Times New Roman" w:cs="Times New Roman"/>
          <w:i/>
          <w:sz w:val="24"/>
          <w:szCs w:val="24"/>
        </w:rPr>
        <w:footnoteReference w:id="6"/>
      </w:r>
    </w:p>
    <w:p w:rsidR="00715E40" w:rsidRDefault="00715E40" w:rsidP="00454499">
      <w:pPr>
        <w:pStyle w:val="a3"/>
        <w:spacing w:before="240" w:line="360" w:lineRule="auto"/>
        <w:ind w:left="0" w:firstLine="284"/>
        <w:jc w:val="both"/>
        <w:rPr>
          <w:rFonts w:ascii="Times New Roman" w:hAnsi="Times New Roman" w:cs="Times New Roman"/>
          <w:sz w:val="28"/>
          <w:szCs w:val="28"/>
        </w:rPr>
      </w:pPr>
    </w:p>
    <w:p w:rsidR="00A20F08" w:rsidRDefault="00A20F08" w:rsidP="00A20F08">
      <w:pPr>
        <w:pStyle w:val="a3"/>
        <w:spacing w:before="240" w:line="360" w:lineRule="auto"/>
        <w:ind w:left="0" w:firstLine="284"/>
        <w:jc w:val="both"/>
        <w:rPr>
          <w:rFonts w:ascii="Times New Roman" w:hAnsi="Times New Roman" w:cs="Times New Roman"/>
          <w:sz w:val="28"/>
          <w:szCs w:val="28"/>
        </w:rPr>
      </w:pPr>
      <w:r w:rsidRPr="0005719D">
        <w:rPr>
          <w:rFonts w:ascii="Times New Roman" w:hAnsi="Times New Roman" w:cs="Times New Roman"/>
          <w:sz w:val="28"/>
          <w:szCs w:val="28"/>
        </w:rPr>
        <w:t xml:space="preserve">В 1984 г. Лондонская фондовая биржа дала рекомендации придерживаться МСФО всем иностранным компаниям, желающим котироваться в Лондоне. В 1985 г. </w:t>
      </w:r>
      <w:proofErr w:type="spellStart"/>
      <w:r w:rsidRPr="0005719D">
        <w:rPr>
          <w:rFonts w:ascii="Times New Roman" w:hAnsi="Times New Roman" w:cs="Times New Roman"/>
          <w:sz w:val="28"/>
          <w:szCs w:val="28"/>
        </w:rPr>
        <w:t>General</w:t>
      </w:r>
      <w:proofErr w:type="spellEnd"/>
      <w:r w:rsidRPr="0005719D">
        <w:rPr>
          <w:rFonts w:ascii="Times New Roman" w:hAnsi="Times New Roman" w:cs="Times New Roman"/>
          <w:sz w:val="28"/>
          <w:szCs w:val="28"/>
        </w:rPr>
        <w:t xml:space="preserve"> </w:t>
      </w:r>
      <w:proofErr w:type="spellStart"/>
      <w:r w:rsidRPr="0005719D">
        <w:rPr>
          <w:rFonts w:ascii="Times New Roman" w:hAnsi="Times New Roman" w:cs="Times New Roman"/>
          <w:sz w:val="28"/>
          <w:szCs w:val="28"/>
        </w:rPr>
        <w:t>Electrik</w:t>
      </w:r>
      <w:proofErr w:type="spellEnd"/>
      <w:r w:rsidRPr="0005719D">
        <w:rPr>
          <w:rFonts w:ascii="Times New Roman" w:hAnsi="Times New Roman" w:cs="Times New Roman"/>
          <w:sz w:val="28"/>
          <w:szCs w:val="28"/>
        </w:rPr>
        <w:t xml:space="preserve"> , одна из крупнейших американских корпораций, составила отчетность за 1984 г. не только по американским, но и по международным стандартам. Сотрудничество КМСФО с Международной организацией комиссий по ценным бумагам</w:t>
      </w:r>
      <w:r w:rsidRPr="0005719D">
        <w:rPr>
          <w:rStyle w:val="a6"/>
        </w:rPr>
        <w:footnoteReference w:id="7"/>
      </w:r>
      <w:r w:rsidRPr="0005719D">
        <w:rPr>
          <w:rFonts w:ascii="Times New Roman" w:hAnsi="Times New Roman" w:cs="Times New Roman"/>
          <w:sz w:val="28"/>
          <w:szCs w:val="28"/>
        </w:rPr>
        <w:t xml:space="preserve"> (МОКЦБ) с 1987 г. привело к </w:t>
      </w:r>
      <w:r w:rsidRPr="0005719D">
        <w:rPr>
          <w:rFonts w:ascii="Times New Roman" w:hAnsi="Times New Roman" w:cs="Times New Roman"/>
          <w:sz w:val="28"/>
          <w:szCs w:val="28"/>
        </w:rPr>
        <w:lastRenderedPageBreak/>
        <w:t xml:space="preserve">созданию совместных стратегических проектов. В 1993 г. КМСФО и МОКЦБ было подписано соглашение, в соответствии с которым, компании, желающие получить котировку на фондовой бирже, должны составлять </w:t>
      </w:r>
      <w:r>
        <w:rPr>
          <w:rFonts w:ascii="Times New Roman" w:hAnsi="Times New Roman" w:cs="Times New Roman"/>
          <w:sz w:val="28"/>
          <w:szCs w:val="28"/>
        </w:rPr>
        <w:t xml:space="preserve">консолидированную </w:t>
      </w:r>
      <w:r w:rsidRPr="0005719D">
        <w:rPr>
          <w:rFonts w:ascii="Times New Roman" w:hAnsi="Times New Roman" w:cs="Times New Roman"/>
          <w:sz w:val="28"/>
          <w:szCs w:val="28"/>
        </w:rPr>
        <w:t>отчетность в соответствии МСФО.</w:t>
      </w:r>
      <w:r>
        <w:rPr>
          <w:rFonts w:ascii="Times New Roman" w:hAnsi="Times New Roman" w:cs="Times New Roman"/>
          <w:sz w:val="28"/>
          <w:szCs w:val="28"/>
        </w:rPr>
        <w:t xml:space="preserve"> Многие страны последовали примеру Европы, однако некоторые из выпущенных КМСФО стандартов допускали использование альтернативных методов учёта, что значительно усложняет сопоставимость и прозрачность отчётности. </w:t>
      </w:r>
    </w:p>
    <w:p w:rsidR="000A467F" w:rsidRPr="004D75E8" w:rsidRDefault="000A467F" w:rsidP="00A20F08">
      <w:pPr>
        <w:pStyle w:val="a3"/>
        <w:spacing w:before="24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 2007 году </w:t>
      </w:r>
      <w:r w:rsidRPr="005C09F5">
        <w:rPr>
          <w:rFonts w:ascii="Times New Roman" w:hAnsi="Times New Roman" w:cs="Times New Roman"/>
          <w:sz w:val="28"/>
          <w:szCs w:val="28"/>
          <w:lang w:val="en-US"/>
        </w:rPr>
        <w:t>SEC</w:t>
      </w:r>
      <w:r w:rsidRPr="008B49FB">
        <w:rPr>
          <w:rFonts w:ascii="Times New Roman" w:hAnsi="Times New Roman" w:cs="Times New Roman"/>
          <w:sz w:val="28"/>
          <w:szCs w:val="28"/>
        </w:rPr>
        <w:t xml:space="preserve"> </w:t>
      </w:r>
      <w:r w:rsidRPr="005C09F5">
        <w:rPr>
          <w:rFonts w:ascii="Times New Roman" w:hAnsi="Times New Roman" w:cs="Times New Roman"/>
          <w:sz w:val="28"/>
          <w:szCs w:val="28"/>
        </w:rPr>
        <w:t xml:space="preserve">согласилась принимать у иностранных частных эмитентов финансовую </w:t>
      </w:r>
      <w:proofErr w:type="gramStart"/>
      <w:r w:rsidRPr="005C09F5">
        <w:rPr>
          <w:rFonts w:ascii="Times New Roman" w:hAnsi="Times New Roman" w:cs="Times New Roman"/>
          <w:sz w:val="28"/>
          <w:szCs w:val="28"/>
        </w:rPr>
        <w:t>отчетность</w:t>
      </w:r>
      <w:proofErr w:type="gramEnd"/>
      <w:r w:rsidRPr="005C09F5">
        <w:rPr>
          <w:rFonts w:ascii="Times New Roman" w:hAnsi="Times New Roman" w:cs="Times New Roman"/>
          <w:sz w:val="28"/>
          <w:szCs w:val="28"/>
        </w:rPr>
        <w:t xml:space="preserve"> подготовленную согласно МСФО</w:t>
      </w:r>
      <w:r>
        <w:rPr>
          <w:rFonts w:ascii="Times New Roman" w:hAnsi="Times New Roman" w:cs="Times New Roman"/>
          <w:sz w:val="28"/>
          <w:szCs w:val="28"/>
        </w:rPr>
        <w:t xml:space="preserve">, что стало большим </w:t>
      </w:r>
      <w:r w:rsidR="004D75E8">
        <w:rPr>
          <w:rFonts w:ascii="Times New Roman" w:hAnsi="Times New Roman" w:cs="Times New Roman"/>
          <w:sz w:val="28"/>
          <w:szCs w:val="28"/>
        </w:rPr>
        <w:t>шагом вперёд для распространения МСФО по всей планете. Предположительно, к 2017 году США откажутся от собственной системы бухгалтерского учёта (</w:t>
      </w:r>
      <w:r w:rsidR="004D75E8">
        <w:rPr>
          <w:rFonts w:ascii="Times New Roman" w:hAnsi="Times New Roman" w:cs="Times New Roman"/>
          <w:sz w:val="28"/>
          <w:szCs w:val="28"/>
          <w:lang w:val="en-US"/>
        </w:rPr>
        <w:t>US</w:t>
      </w:r>
      <w:r w:rsidR="004D75E8" w:rsidRPr="004D75E8">
        <w:rPr>
          <w:rFonts w:ascii="Times New Roman" w:hAnsi="Times New Roman" w:cs="Times New Roman"/>
          <w:sz w:val="28"/>
          <w:szCs w:val="28"/>
        </w:rPr>
        <w:t xml:space="preserve"> </w:t>
      </w:r>
      <w:r w:rsidR="004D75E8">
        <w:rPr>
          <w:rFonts w:ascii="Times New Roman" w:hAnsi="Times New Roman" w:cs="Times New Roman"/>
          <w:sz w:val="28"/>
          <w:szCs w:val="28"/>
          <w:lang w:val="en-US"/>
        </w:rPr>
        <w:t>GAAP</w:t>
      </w:r>
      <w:r w:rsidR="004D75E8">
        <w:rPr>
          <w:rFonts w:ascii="Times New Roman" w:hAnsi="Times New Roman" w:cs="Times New Roman"/>
          <w:sz w:val="28"/>
          <w:szCs w:val="28"/>
        </w:rPr>
        <w:t>)</w:t>
      </w:r>
      <w:r w:rsidR="004D75E8" w:rsidRPr="004D75E8">
        <w:rPr>
          <w:rFonts w:ascii="Times New Roman" w:hAnsi="Times New Roman" w:cs="Times New Roman"/>
          <w:sz w:val="28"/>
          <w:szCs w:val="28"/>
        </w:rPr>
        <w:t xml:space="preserve">, </w:t>
      </w:r>
      <w:r w:rsidR="004D75E8">
        <w:rPr>
          <w:rFonts w:ascii="Times New Roman" w:hAnsi="Times New Roman" w:cs="Times New Roman"/>
          <w:sz w:val="28"/>
          <w:szCs w:val="28"/>
        </w:rPr>
        <w:t>долгое время бывшей обязательным условием для торгов на американских биржах, и полностью перейдут на МСФО.</w:t>
      </w:r>
    </w:p>
    <w:p w:rsidR="00A20F08" w:rsidRPr="007E65EE" w:rsidRDefault="00A20F08" w:rsidP="007E65EE">
      <w:pPr>
        <w:pStyle w:val="a3"/>
        <w:spacing w:before="24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основная задача бухгалтерских организаций по всему миру и Совета по </w:t>
      </w:r>
      <w:proofErr w:type="gramStart"/>
      <w:r>
        <w:rPr>
          <w:rFonts w:ascii="Times New Roman" w:hAnsi="Times New Roman" w:cs="Times New Roman"/>
          <w:sz w:val="28"/>
          <w:szCs w:val="28"/>
        </w:rPr>
        <w:t>МСФО</w:t>
      </w:r>
      <w:proofErr w:type="gramEnd"/>
      <w:r>
        <w:rPr>
          <w:rFonts w:ascii="Times New Roman" w:hAnsi="Times New Roman" w:cs="Times New Roman"/>
          <w:sz w:val="28"/>
          <w:szCs w:val="28"/>
        </w:rPr>
        <w:t xml:space="preserve"> в том числе в настоящее время – конвергенция существующих стандартов отчётности и применение в глобальном масштабе единой системы высококачественных и всеобъемлющих стандартов финансовой отчётности.</w:t>
      </w:r>
    </w:p>
    <w:p w:rsidR="00B51292" w:rsidRPr="00EF0F4F" w:rsidRDefault="00A20F08" w:rsidP="00EF0F4F">
      <w:pPr>
        <w:pStyle w:val="2"/>
        <w:rPr>
          <w:color w:val="auto"/>
        </w:rPr>
      </w:pPr>
      <w:bookmarkStart w:id="5" w:name="_Toc356280305"/>
      <w:r w:rsidRPr="00EF0F4F">
        <w:rPr>
          <w:color w:val="auto"/>
        </w:rPr>
        <w:t>Финансовая отчётность и учётная политика в соответствии с МСФО</w:t>
      </w:r>
      <w:bookmarkEnd w:id="5"/>
    </w:p>
    <w:p w:rsidR="00A25D5C" w:rsidRDefault="00A25D5C" w:rsidP="0007612E">
      <w:pPr>
        <w:pStyle w:val="a3"/>
        <w:spacing w:before="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МСФО – продукт деятельности сначала КМСФО, а потом и Совета по МСФО.</w:t>
      </w:r>
      <w:r w:rsidR="0007612E">
        <w:rPr>
          <w:rFonts w:ascii="Times New Roman" w:hAnsi="Times New Roman" w:cs="Times New Roman"/>
          <w:sz w:val="28"/>
          <w:szCs w:val="28"/>
        </w:rPr>
        <w:t xml:space="preserve"> По сути, это набор документов, каждый из которых регламентирует тот или иной аспект составления финансовой отчётности.  Каждый из этих документов имеет порядковый номер</w:t>
      </w:r>
      <w:r w:rsidR="00B51292">
        <w:rPr>
          <w:rFonts w:ascii="Times New Roman" w:hAnsi="Times New Roman" w:cs="Times New Roman"/>
          <w:sz w:val="28"/>
          <w:szCs w:val="28"/>
        </w:rPr>
        <w:t>, название</w:t>
      </w:r>
      <w:r w:rsidR="0007612E">
        <w:rPr>
          <w:rFonts w:ascii="Times New Roman" w:hAnsi="Times New Roman" w:cs="Times New Roman"/>
          <w:sz w:val="28"/>
          <w:szCs w:val="28"/>
        </w:rPr>
        <w:t xml:space="preserve"> и буквенное обозначение (</w:t>
      </w:r>
      <w:r w:rsidR="0007612E">
        <w:rPr>
          <w:rFonts w:ascii="Times New Roman" w:hAnsi="Times New Roman" w:cs="Times New Roman"/>
          <w:sz w:val="28"/>
          <w:szCs w:val="28"/>
          <w:lang w:val="en-US"/>
        </w:rPr>
        <w:t>IAS</w:t>
      </w:r>
      <w:r w:rsidR="0007612E">
        <w:rPr>
          <w:rStyle w:val="a6"/>
          <w:rFonts w:ascii="Times New Roman" w:hAnsi="Times New Roman" w:cs="Times New Roman"/>
          <w:sz w:val="28"/>
          <w:szCs w:val="28"/>
          <w:lang w:val="en-US"/>
        </w:rPr>
        <w:footnoteReference w:id="8"/>
      </w:r>
      <w:r w:rsidR="0007612E" w:rsidRPr="0007612E">
        <w:rPr>
          <w:rFonts w:ascii="Times New Roman" w:hAnsi="Times New Roman" w:cs="Times New Roman"/>
          <w:sz w:val="28"/>
          <w:szCs w:val="28"/>
        </w:rPr>
        <w:t xml:space="preserve"> </w:t>
      </w:r>
      <w:r w:rsidR="0007612E">
        <w:rPr>
          <w:rFonts w:ascii="Times New Roman" w:hAnsi="Times New Roman" w:cs="Times New Roman"/>
          <w:sz w:val="28"/>
          <w:szCs w:val="28"/>
        </w:rPr>
        <w:t xml:space="preserve">либо </w:t>
      </w:r>
      <w:r w:rsidR="0007612E">
        <w:rPr>
          <w:rFonts w:ascii="Times New Roman" w:hAnsi="Times New Roman" w:cs="Times New Roman"/>
          <w:sz w:val="28"/>
          <w:szCs w:val="28"/>
          <w:lang w:val="en-US"/>
        </w:rPr>
        <w:t>IFRS</w:t>
      </w:r>
      <w:r w:rsidR="0007612E">
        <w:rPr>
          <w:rStyle w:val="a6"/>
          <w:rFonts w:ascii="Times New Roman" w:hAnsi="Times New Roman" w:cs="Times New Roman"/>
          <w:sz w:val="28"/>
          <w:szCs w:val="28"/>
          <w:lang w:val="en-US"/>
        </w:rPr>
        <w:footnoteReference w:id="9"/>
      </w:r>
      <w:r w:rsidR="0007612E" w:rsidRPr="0007612E">
        <w:rPr>
          <w:rFonts w:ascii="Times New Roman" w:hAnsi="Times New Roman" w:cs="Times New Roman"/>
          <w:sz w:val="28"/>
          <w:szCs w:val="28"/>
        </w:rPr>
        <w:t>)</w:t>
      </w:r>
      <w:r w:rsidR="0007612E">
        <w:rPr>
          <w:rFonts w:ascii="Times New Roman" w:hAnsi="Times New Roman" w:cs="Times New Roman"/>
          <w:sz w:val="28"/>
          <w:szCs w:val="28"/>
        </w:rPr>
        <w:t>.</w:t>
      </w:r>
      <w:r w:rsidR="0007612E" w:rsidRPr="0007612E">
        <w:rPr>
          <w:rFonts w:ascii="Times New Roman" w:hAnsi="Times New Roman" w:cs="Times New Roman"/>
          <w:sz w:val="28"/>
          <w:szCs w:val="28"/>
        </w:rPr>
        <w:t xml:space="preserve"> </w:t>
      </w:r>
      <w:r w:rsidR="0007612E">
        <w:rPr>
          <w:rFonts w:ascii="Times New Roman" w:hAnsi="Times New Roman" w:cs="Times New Roman"/>
          <w:sz w:val="28"/>
          <w:szCs w:val="28"/>
        </w:rPr>
        <w:t xml:space="preserve">До 2001 года КМСФО выпускал стандарты с обозначением </w:t>
      </w:r>
      <w:r w:rsidR="0007612E">
        <w:rPr>
          <w:rFonts w:ascii="Times New Roman" w:hAnsi="Times New Roman" w:cs="Times New Roman"/>
          <w:sz w:val="28"/>
          <w:szCs w:val="28"/>
          <w:lang w:val="en-US"/>
        </w:rPr>
        <w:t>IAS</w:t>
      </w:r>
      <w:r w:rsidR="0007612E" w:rsidRPr="0007612E">
        <w:rPr>
          <w:rFonts w:ascii="Times New Roman" w:hAnsi="Times New Roman" w:cs="Times New Roman"/>
          <w:sz w:val="28"/>
          <w:szCs w:val="28"/>
        </w:rPr>
        <w:t xml:space="preserve">, </w:t>
      </w:r>
      <w:r w:rsidR="0007612E">
        <w:rPr>
          <w:rFonts w:ascii="Times New Roman" w:hAnsi="Times New Roman" w:cs="Times New Roman"/>
          <w:sz w:val="28"/>
          <w:szCs w:val="28"/>
        </w:rPr>
        <w:t>после его переформирования</w:t>
      </w:r>
      <w:r w:rsidR="0007612E" w:rsidRPr="0007612E">
        <w:rPr>
          <w:rFonts w:ascii="Times New Roman" w:hAnsi="Times New Roman" w:cs="Times New Roman"/>
          <w:sz w:val="28"/>
          <w:szCs w:val="28"/>
        </w:rPr>
        <w:t xml:space="preserve"> </w:t>
      </w:r>
      <w:proofErr w:type="gramStart"/>
      <w:r w:rsidR="0007612E">
        <w:rPr>
          <w:rFonts w:ascii="Times New Roman" w:hAnsi="Times New Roman" w:cs="Times New Roman"/>
          <w:sz w:val="28"/>
          <w:szCs w:val="28"/>
        </w:rPr>
        <w:t xml:space="preserve">были приняты все существующие </w:t>
      </w:r>
      <w:r w:rsidR="0007612E">
        <w:rPr>
          <w:rFonts w:ascii="Times New Roman" w:hAnsi="Times New Roman" w:cs="Times New Roman"/>
          <w:sz w:val="28"/>
          <w:szCs w:val="28"/>
          <w:lang w:val="en-US"/>
        </w:rPr>
        <w:t>IAS</w:t>
      </w:r>
      <w:r w:rsidR="00B51292">
        <w:rPr>
          <w:rFonts w:ascii="Times New Roman" w:hAnsi="Times New Roman" w:cs="Times New Roman"/>
          <w:sz w:val="28"/>
          <w:szCs w:val="28"/>
        </w:rPr>
        <w:t xml:space="preserve"> и для новых стандартов стала</w:t>
      </w:r>
      <w:proofErr w:type="gramEnd"/>
      <w:r w:rsidR="00B51292">
        <w:rPr>
          <w:rFonts w:ascii="Times New Roman" w:hAnsi="Times New Roman" w:cs="Times New Roman"/>
          <w:sz w:val="28"/>
          <w:szCs w:val="28"/>
        </w:rPr>
        <w:t xml:space="preserve"> использоваться </w:t>
      </w:r>
      <w:r w:rsidR="00B51292">
        <w:rPr>
          <w:rFonts w:ascii="Times New Roman" w:hAnsi="Times New Roman" w:cs="Times New Roman"/>
          <w:sz w:val="28"/>
          <w:szCs w:val="28"/>
        </w:rPr>
        <w:lastRenderedPageBreak/>
        <w:t xml:space="preserve">аббревиатура </w:t>
      </w:r>
      <w:r w:rsidR="00B51292">
        <w:rPr>
          <w:rFonts w:ascii="Times New Roman" w:hAnsi="Times New Roman" w:cs="Times New Roman"/>
          <w:sz w:val="28"/>
          <w:szCs w:val="28"/>
          <w:lang w:val="en-US"/>
        </w:rPr>
        <w:t>IFRS</w:t>
      </w:r>
      <w:r w:rsidR="0007612E" w:rsidRPr="0007612E">
        <w:rPr>
          <w:rFonts w:ascii="Times New Roman" w:hAnsi="Times New Roman" w:cs="Times New Roman"/>
          <w:sz w:val="28"/>
          <w:szCs w:val="28"/>
        </w:rPr>
        <w:t>.</w:t>
      </w:r>
      <w:r w:rsidR="0007612E">
        <w:rPr>
          <w:rFonts w:ascii="Times New Roman" w:hAnsi="Times New Roman" w:cs="Times New Roman"/>
          <w:sz w:val="28"/>
          <w:szCs w:val="28"/>
        </w:rPr>
        <w:t xml:space="preserve"> </w:t>
      </w:r>
      <w:r w:rsidR="00B51292" w:rsidRPr="00B51292">
        <w:rPr>
          <w:rFonts w:ascii="Times New Roman" w:hAnsi="Times New Roman" w:cs="Times New Roman"/>
          <w:sz w:val="28"/>
          <w:szCs w:val="28"/>
        </w:rPr>
        <w:t xml:space="preserve"> </w:t>
      </w:r>
      <w:r w:rsidR="00B51292">
        <w:rPr>
          <w:rFonts w:ascii="Times New Roman" w:hAnsi="Times New Roman" w:cs="Times New Roman"/>
          <w:sz w:val="28"/>
          <w:szCs w:val="28"/>
        </w:rPr>
        <w:t xml:space="preserve">Список </w:t>
      </w:r>
      <w:proofErr w:type="gramStart"/>
      <w:r w:rsidR="00B51292">
        <w:rPr>
          <w:rFonts w:ascii="Times New Roman" w:hAnsi="Times New Roman" w:cs="Times New Roman"/>
          <w:sz w:val="28"/>
          <w:szCs w:val="28"/>
        </w:rPr>
        <w:t>действующих</w:t>
      </w:r>
      <w:proofErr w:type="gramEnd"/>
      <w:r w:rsidR="00B51292">
        <w:rPr>
          <w:rFonts w:ascii="Times New Roman" w:hAnsi="Times New Roman" w:cs="Times New Roman"/>
          <w:sz w:val="28"/>
          <w:szCs w:val="28"/>
        </w:rPr>
        <w:t xml:space="preserve"> в настоящее время МСФО я поместила в Приложении 1.</w:t>
      </w:r>
    </w:p>
    <w:p w:rsidR="00B51292" w:rsidRDefault="00B51292" w:rsidP="0007612E">
      <w:pPr>
        <w:pStyle w:val="a3"/>
        <w:spacing w:before="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Подробно рассматривать все МСФО рамках данной работы нецелесообразно, однако необходимо обратить внимание на два стандарта, являющиеся базой для всех остальных. </w:t>
      </w:r>
      <w:r w:rsidR="00EE190B">
        <w:rPr>
          <w:rFonts w:ascii="Times New Roman" w:hAnsi="Times New Roman" w:cs="Times New Roman"/>
          <w:sz w:val="28"/>
          <w:szCs w:val="28"/>
        </w:rPr>
        <w:t>Я говорю о стандартах</w:t>
      </w:r>
      <w:r w:rsidR="00EE190B" w:rsidRPr="00EE190B">
        <w:rPr>
          <w:rFonts w:ascii="Times New Roman" w:hAnsi="Times New Roman" w:cs="Times New Roman"/>
          <w:sz w:val="28"/>
          <w:szCs w:val="28"/>
        </w:rPr>
        <w:t xml:space="preserve"> </w:t>
      </w:r>
      <w:r w:rsidR="00EE190B">
        <w:rPr>
          <w:rFonts w:ascii="Times New Roman" w:hAnsi="Times New Roman" w:cs="Times New Roman"/>
          <w:sz w:val="28"/>
          <w:szCs w:val="28"/>
          <w:lang w:val="en-US"/>
        </w:rPr>
        <w:t>IAS</w:t>
      </w:r>
      <w:r w:rsidR="00EE190B" w:rsidRPr="00EE190B">
        <w:rPr>
          <w:rFonts w:ascii="Times New Roman" w:hAnsi="Times New Roman" w:cs="Times New Roman"/>
          <w:sz w:val="28"/>
          <w:szCs w:val="28"/>
        </w:rPr>
        <w:t xml:space="preserve"> 1 </w:t>
      </w:r>
      <w:r w:rsidR="00EE190B">
        <w:rPr>
          <w:rFonts w:ascii="Times New Roman" w:hAnsi="Times New Roman" w:cs="Times New Roman"/>
          <w:sz w:val="28"/>
          <w:szCs w:val="28"/>
        </w:rPr>
        <w:t xml:space="preserve">«Предоставление финансовой отчётности» и </w:t>
      </w:r>
      <w:r w:rsidR="00EE190B">
        <w:rPr>
          <w:rFonts w:ascii="Times New Roman" w:hAnsi="Times New Roman" w:cs="Times New Roman"/>
          <w:sz w:val="28"/>
          <w:szCs w:val="28"/>
          <w:lang w:val="en-US"/>
        </w:rPr>
        <w:t>IAS</w:t>
      </w:r>
      <w:r w:rsidR="00EE190B" w:rsidRPr="00EE190B">
        <w:rPr>
          <w:rFonts w:ascii="Times New Roman" w:hAnsi="Times New Roman" w:cs="Times New Roman"/>
          <w:sz w:val="28"/>
          <w:szCs w:val="28"/>
        </w:rPr>
        <w:t xml:space="preserve"> 8 </w:t>
      </w:r>
      <w:r w:rsidR="00EE190B">
        <w:rPr>
          <w:rFonts w:ascii="Times New Roman" w:hAnsi="Times New Roman" w:cs="Times New Roman"/>
          <w:sz w:val="28"/>
          <w:szCs w:val="28"/>
        </w:rPr>
        <w:t>«Учётная политика, изменения в учётных оценках и ошибки».</w:t>
      </w:r>
    </w:p>
    <w:p w:rsidR="00EE190B" w:rsidRDefault="00EE190B" w:rsidP="0007612E">
      <w:pPr>
        <w:pStyle w:val="a3"/>
        <w:spacing w:before="240" w:line="36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IAS</w:t>
      </w:r>
      <w:r w:rsidRPr="00EE190B">
        <w:rPr>
          <w:rFonts w:ascii="Times New Roman" w:hAnsi="Times New Roman" w:cs="Times New Roman"/>
          <w:sz w:val="28"/>
          <w:szCs w:val="28"/>
        </w:rPr>
        <w:t xml:space="preserve"> 1 – </w:t>
      </w:r>
      <w:r>
        <w:rPr>
          <w:rFonts w:ascii="Times New Roman" w:hAnsi="Times New Roman" w:cs="Times New Roman"/>
          <w:sz w:val="28"/>
          <w:szCs w:val="28"/>
        </w:rPr>
        <w:t>это основополагающий документ, который предписывает порядок предоставления финансовой отчётности, её цель, форму, содержание и структуру</w:t>
      </w:r>
      <w:r>
        <w:rPr>
          <w:rStyle w:val="a6"/>
          <w:rFonts w:ascii="Times New Roman" w:hAnsi="Times New Roman" w:cs="Times New Roman"/>
          <w:sz w:val="28"/>
          <w:szCs w:val="28"/>
        </w:rPr>
        <w:footnoteReference w:id="10"/>
      </w:r>
      <w:r>
        <w:rPr>
          <w:rFonts w:ascii="Times New Roman" w:hAnsi="Times New Roman" w:cs="Times New Roman"/>
          <w:sz w:val="28"/>
          <w:szCs w:val="28"/>
        </w:rPr>
        <w:t>.</w:t>
      </w:r>
      <w:proofErr w:type="gramEnd"/>
      <w:r>
        <w:rPr>
          <w:rFonts w:ascii="Times New Roman" w:hAnsi="Times New Roman" w:cs="Times New Roman"/>
          <w:sz w:val="28"/>
          <w:szCs w:val="28"/>
        </w:rPr>
        <w:t xml:space="preserve"> Этот стандарт претерпел множество изменений, что неудивительно – он должен применяться ко всем без исключения отчётностям, подготовленным в соответствии с МСФО, поэтому должен безупречно отражать общие принципы, цели и методы МСФО в соответствии с текущим их пониманием. Он рассматривает компоненты финансовой отчётности, принцип достоверного представления, основные концепции бухгалтерского учёта, раскрытие учётной политики, структуру и содержание финансовой отчётности, а также отчёт об изменениях капитала. </w:t>
      </w:r>
    </w:p>
    <w:p w:rsidR="00EE190B" w:rsidRDefault="00EE190B" w:rsidP="0007612E">
      <w:pPr>
        <w:pStyle w:val="a3"/>
        <w:spacing w:before="240" w:line="36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IAS</w:t>
      </w:r>
      <w:r w:rsidRPr="00957410">
        <w:rPr>
          <w:rFonts w:ascii="Times New Roman" w:hAnsi="Times New Roman" w:cs="Times New Roman"/>
          <w:sz w:val="28"/>
          <w:szCs w:val="28"/>
        </w:rPr>
        <w:t xml:space="preserve"> 8 </w:t>
      </w:r>
      <w:r w:rsidR="00957410">
        <w:rPr>
          <w:rFonts w:ascii="Times New Roman" w:hAnsi="Times New Roman" w:cs="Times New Roman"/>
          <w:sz w:val="28"/>
          <w:szCs w:val="28"/>
        </w:rPr>
        <w:t>рассматривает сходные вопросы, однако относится скорее к учётной политике конкретно организации, порядку её выбора и применения, а также учёту изменений в ней, изменений в учётных оценках и исправления ошибок прошлых отчётных периодов</w:t>
      </w:r>
      <w:r w:rsidR="00957410">
        <w:rPr>
          <w:rStyle w:val="a6"/>
          <w:rFonts w:ascii="Times New Roman" w:hAnsi="Times New Roman" w:cs="Times New Roman"/>
          <w:sz w:val="28"/>
          <w:szCs w:val="28"/>
        </w:rPr>
        <w:footnoteReference w:id="11"/>
      </w:r>
      <w:r w:rsidR="00957410">
        <w:rPr>
          <w:rFonts w:ascii="Times New Roman" w:hAnsi="Times New Roman" w:cs="Times New Roman"/>
          <w:sz w:val="28"/>
          <w:szCs w:val="28"/>
        </w:rPr>
        <w:t>.</w:t>
      </w:r>
      <w:proofErr w:type="gramEnd"/>
    </w:p>
    <w:p w:rsidR="00957410" w:rsidRDefault="00957410" w:rsidP="0007612E">
      <w:pPr>
        <w:pStyle w:val="a3"/>
        <w:spacing w:before="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Однако чтобы получить наиболее общее представление об отчётности, составляемой в соответствии с МСФО, недостаточно ознакомиться с </w:t>
      </w:r>
      <w:r>
        <w:rPr>
          <w:rFonts w:ascii="Times New Roman" w:hAnsi="Times New Roman" w:cs="Times New Roman"/>
          <w:sz w:val="28"/>
          <w:szCs w:val="28"/>
          <w:lang w:val="en-US"/>
        </w:rPr>
        <w:t>IAS</w:t>
      </w:r>
      <w:r w:rsidRPr="00957410">
        <w:rPr>
          <w:rFonts w:ascii="Times New Roman" w:hAnsi="Times New Roman" w:cs="Times New Roman"/>
          <w:sz w:val="28"/>
          <w:szCs w:val="28"/>
        </w:rPr>
        <w:t xml:space="preserve"> 1 </w:t>
      </w:r>
      <w:r>
        <w:rPr>
          <w:rFonts w:ascii="Times New Roman" w:hAnsi="Times New Roman" w:cs="Times New Roman"/>
          <w:sz w:val="28"/>
          <w:szCs w:val="28"/>
        </w:rPr>
        <w:t xml:space="preserve">и </w:t>
      </w:r>
      <w:r>
        <w:rPr>
          <w:rFonts w:ascii="Times New Roman" w:hAnsi="Times New Roman" w:cs="Times New Roman"/>
          <w:sz w:val="28"/>
          <w:szCs w:val="28"/>
          <w:lang w:val="en-US"/>
        </w:rPr>
        <w:t>IAS</w:t>
      </w:r>
      <w:r>
        <w:rPr>
          <w:rFonts w:ascii="Times New Roman" w:hAnsi="Times New Roman" w:cs="Times New Roman"/>
          <w:sz w:val="28"/>
          <w:szCs w:val="28"/>
        </w:rPr>
        <w:t xml:space="preserve"> 8. Необходимо также понять как минимум основные принципы, на которых базируется МСФО. Они условно делятся на 2 группы – основополагающие допущения и требования к качественным характеристикам информации, составляющей финансовую отчётность. </w:t>
      </w:r>
    </w:p>
    <w:p w:rsidR="00957410" w:rsidRDefault="00957410" w:rsidP="0007612E">
      <w:pPr>
        <w:pStyle w:val="a3"/>
        <w:spacing w:before="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Основополагающих допущений всего два:</w:t>
      </w:r>
    </w:p>
    <w:p w:rsidR="00A25D5C" w:rsidRDefault="00957410" w:rsidP="00957410">
      <w:pPr>
        <w:pStyle w:val="a3"/>
        <w:numPr>
          <w:ilvl w:val="0"/>
          <w:numId w:val="7"/>
        </w:numPr>
        <w:spacing w:before="240" w:line="360" w:lineRule="auto"/>
        <w:ind w:left="0" w:firstLine="567"/>
        <w:jc w:val="both"/>
        <w:rPr>
          <w:rFonts w:ascii="Times New Roman" w:hAnsi="Times New Roman" w:cs="Times New Roman"/>
          <w:sz w:val="28"/>
          <w:szCs w:val="28"/>
        </w:rPr>
      </w:pPr>
      <w:r w:rsidRPr="00957410">
        <w:rPr>
          <w:rFonts w:ascii="Times New Roman" w:hAnsi="Times New Roman" w:cs="Times New Roman"/>
          <w:i/>
          <w:sz w:val="28"/>
          <w:szCs w:val="28"/>
        </w:rPr>
        <w:lastRenderedPageBreak/>
        <w:t>Метод начисления</w:t>
      </w:r>
      <w:r>
        <w:rPr>
          <w:rFonts w:ascii="Times New Roman" w:hAnsi="Times New Roman" w:cs="Times New Roman"/>
          <w:i/>
          <w:sz w:val="28"/>
          <w:szCs w:val="28"/>
        </w:rPr>
        <w:t xml:space="preserve"> </w:t>
      </w:r>
      <w:r w:rsidRPr="00957410">
        <w:rPr>
          <w:rFonts w:ascii="Times New Roman" w:hAnsi="Times New Roman" w:cs="Times New Roman"/>
          <w:sz w:val="28"/>
          <w:szCs w:val="28"/>
        </w:rPr>
        <w:t>означает, что</w:t>
      </w:r>
      <w:r>
        <w:rPr>
          <w:rFonts w:ascii="Times New Roman" w:hAnsi="Times New Roman" w:cs="Times New Roman"/>
          <w:sz w:val="28"/>
          <w:szCs w:val="28"/>
        </w:rPr>
        <w:t xml:space="preserve"> </w:t>
      </w:r>
      <w:r w:rsidRPr="00957410">
        <w:rPr>
          <w:rFonts w:ascii="Times New Roman" w:hAnsi="Times New Roman" w:cs="Times New Roman"/>
          <w:sz w:val="28"/>
          <w:szCs w:val="28"/>
        </w:rPr>
        <w:t xml:space="preserve">хозяйственные операции отражаются в момент их совершения, а не по мере получения или выплаты денежных средств и их эквивалентов. </w:t>
      </w:r>
      <w:r>
        <w:rPr>
          <w:rFonts w:ascii="Times New Roman" w:hAnsi="Times New Roman" w:cs="Times New Roman"/>
          <w:sz w:val="28"/>
          <w:szCs w:val="28"/>
        </w:rPr>
        <w:t xml:space="preserve">Это позволяет в определённой мере прогнозировать будущую деятельность предприятия, предоставляя информацию о будущих поступлениях и обязательствах по выплате денежных средств. </w:t>
      </w:r>
    </w:p>
    <w:p w:rsidR="001505B0" w:rsidRPr="001505B0" w:rsidRDefault="007E65EE" w:rsidP="001505B0">
      <w:pPr>
        <w:spacing w:before="240" w:line="360" w:lineRule="auto"/>
        <w:jc w:val="both"/>
        <w:rPr>
          <w:rFonts w:ascii="Times New Roman" w:hAnsi="Times New Roman" w:cs="Times New Roman"/>
          <w:sz w:val="28"/>
          <w:szCs w:val="28"/>
          <w:highlight w:val="green"/>
        </w:rPr>
      </w:pPr>
      <w:r>
        <w:rPr>
          <w:rFonts w:ascii="Times New Roman" w:hAnsi="Times New Roman" w:cs="Times New Roman"/>
          <w:i/>
          <w:sz w:val="28"/>
          <w:szCs w:val="28"/>
        </w:rPr>
        <w:t xml:space="preserve">Непрерывность деятельности </w:t>
      </w:r>
      <w:r>
        <w:rPr>
          <w:rFonts w:ascii="Times New Roman" w:hAnsi="Times New Roman" w:cs="Times New Roman"/>
          <w:sz w:val="28"/>
          <w:szCs w:val="28"/>
        </w:rPr>
        <w:t xml:space="preserve">предполагает, что </w:t>
      </w:r>
      <w:r w:rsidR="001505B0">
        <w:rPr>
          <w:rFonts w:ascii="Times New Roman" w:hAnsi="Times New Roman" w:cs="Times New Roman"/>
          <w:sz w:val="28"/>
          <w:szCs w:val="28"/>
        </w:rPr>
        <w:t>к</w:t>
      </w:r>
      <w:r w:rsidR="001505B0" w:rsidRPr="002356E1">
        <w:rPr>
          <w:rFonts w:ascii="Times New Roman" w:hAnsi="Times New Roman" w:cs="Times New Roman"/>
          <w:sz w:val="28"/>
          <w:szCs w:val="28"/>
        </w:rPr>
        <w:t xml:space="preserve">омпания </w:t>
      </w:r>
      <w:proofErr w:type="gramStart"/>
      <w:r w:rsidR="001505B0" w:rsidRPr="002356E1">
        <w:rPr>
          <w:rFonts w:ascii="Times New Roman" w:hAnsi="Times New Roman" w:cs="Times New Roman"/>
          <w:sz w:val="28"/>
          <w:szCs w:val="28"/>
        </w:rPr>
        <w:t>действует</w:t>
      </w:r>
      <w:proofErr w:type="gramEnd"/>
      <w:r w:rsidR="001505B0" w:rsidRPr="002356E1">
        <w:rPr>
          <w:rFonts w:ascii="Times New Roman" w:hAnsi="Times New Roman" w:cs="Times New Roman"/>
          <w:sz w:val="28"/>
          <w:szCs w:val="28"/>
        </w:rPr>
        <w:t xml:space="preserve"> и будет действовать в обозримом будущем, не собирается и не нуждается в ликвидации или существенном сокращении масштабов своей деятельности</w:t>
      </w:r>
      <w:r w:rsidR="001505B0">
        <w:rPr>
          <w:rFonts w:ascii="Times New Roman" w:hAnsi="Times New Roman" w:cs="Times New Roman"/>
          <w:sz w:val="28"/>
          <w:szCs w:val="28"/>
        </w:rPr>
        <w:t>. Стандарты не содержат руководства в отношении того, какое влияние окажет на финансовую отчетность тот факт, что руководство придет к выводу о неуместности использования допущения о непрерывности деятельности. При выборе соответствующих принципов подгото</w:t>
      </w:r>
      <w:bookmarkStart w:id="6" w:name="_GoBack"/>
      <w:bookmarkEnd w:id="6"/>
      <w:r w:rsidR="001505B0">
        <w:rPr>
          <w:rFonts w:ascii="Times New Roman" w:hAnsi="Times New Roman" w:cs="Times New Roman"/>
          <w:sz w:val="28"/>
          <w:szCs w:val="28"/>
        </w:rPr>
        <w:t xml:space="preserve">вки финансовой отчетности руководство компании должно тщательно рассматривать конкретные обстоятельства. </w:t>
      </w:r>
      <w:r w:rsidR="001505B0" w:rsidRPr="00BD39A0">
        <w:rPr>
          <w:rFonts w:ascii="Times New Roman" w:hAnsi="Times New Roman" w:cs="Times New Roman"/>
          <w:sz w:val="28"/>
          <w:szCs w:val="28"/>
        </w:rPr>
        <w:t xml:space="preserve">Уже в данном этапе </w:t>
      </w:r>
      <w:proofErr w:type="gramStart"/>
      <w:r w:rsidR="001505B0" w:rsidRPr="00BD39A0">
        <w:rPr>
          <w:rFonts w:ascii="Times New Roman" w:hAnsi="Times New Roman" w:cs="Times New Roman"/>
          <w:sz w:val="28"/>
          <w:szCs w:val="28"/>
        </w:rPr>
        <w:t>становится понятно насколько велика</w:t>
      </w:r>
      <w:proofErr w:type="gramEnd"/>
      <w:r w:rsidR="001505B0" w:rsidRPr="00BD39A0">
        <w:rPr>
          <w:rFonts w:ascii="Times New Roman" w:hAnsi="Times New Roman" w:cs="Times New Roman"/>
          <w:sz w:val="28"/>
          <w:szCs w:val="28"/>
        </w:rPr>
        <w:t xml:space="preserve"> роль экспертной оценки  </w:t>
      </w:r>
      <w:r w:rsidR="001505B0">
        <w:rPr>
          <w:rFonts w:ascii="Times New Roman" w:hAnsi="Times New Roman" w:cs="Times New Roman"/>
          <w:sz w:val="28"/>
          <w:szCs w:val="28"/>
        </w:rPr>
        <w:t xml:space="preserve">руководства компании в подготовке отчетности в соответствии с МСФО. </w:t>
      </w:r>
    </w:p>
    <w:p w:rsidR="007E65EE" w:rsidRPr="001505B0" w:rsidRDefault="007E65EE" w:rsidP="001505B0">
      <w:pPr>
        <w:pStyle w:val="a3"/>
        <w:spacing w:before="240" w:line="360" w:lineRule="auto"/>
        <w:ind w:left="0" w:firstLine="567"/>
        <w:jc w:val="both"/>
        <w:rPr>
          <w:rFonts w:ascii="Times New Roman" w:hAnsi="Times New Roman" w:cs="Times New Roman"/>
          <w:sz w:val="28"/>
          <w:szCs w:val="28"/>
        </w:rPr>
      </w:pPr>
      <w:r w:rsidRPr="007E65EE">
        <w:rPr>
          <w:rFonts w:ascii="Times New Roman" w:hAnsi="Times New Roman" w:cs="Times New Roman"/>
          <w:sz w:val="28"/>
          <w:szCs w:val="28"/>
        </w:rPr>
        <w:t xml:space="preserve">КМСФО  в 1989 г. </w:t>
      </w:r>
      <w:r w:rsidR="001505B0">
        <w:rPr>
          <w:rFonts w:ascii="Times New Roman" w:hAnsi="Times New Roman" w:cs="Times New Roman"/>
          <w:sz w:val="28"/>
          <w:szCs w:val="28"/>
        </w:rPr>
        <w:t xml:space="preserve">(в последней редакции – в 2001 г.) </w:t>
      </w:r>
      <w:r w:rsidRPr="007E65EE">
        <w:rPr>
          <w:rFonts w:ascii="Times New Roman" w:hAnsi="Times New Roman" w:cs="Times New Roman"/>
          <w:sz w:val="28"/>
          <w:szCs w:val="28"/>
        </w:rPr>
        <w:t xml:space="preserve">принял </w:t>
      </w:r>
      <w:r>
        <w:rPr>
          <w:rFonts w:ascii="Times New Roman" w:hAnsi="Times New Roman" w:cs="Times New Roman"/>
          <w:sz w:val="28"/>
          <w:szCs w:val="28"/>
        </w:rPr>
        <w:t xml:space="preserve"> следующие требования к качественным характеристикам информации, составляющей финансовую отчётность:</w:t>
      </w:r>
    </w:p>
    <w:p w:rsidR="007E65EE" w:rsidRDefault="007E65EE" w:rsidP="007E65EE">
      <w:pPr>
        <w:pStyle w:val="a3"/>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Уместность</w:t>
      </w:r>
    </w:p>
    <w:p w:rsidR="001505B0" w:rsidRDefault="001505B0" w:rsidP="001505B0">
      <w:pPr>
        <w:pStyle w:val="a3"/>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Достоверное представление (полнота, нейтральность, не содержит существенных ошибок)</w:t>
      </w:r>
    </w:p>
    <w:p w:rsidR="001505B0" w:rsidRPr="001505B0" w:rsidRDefault="001505B0" w:rsidP="001505B0">
      <w:pPr>
        <w:spacing w:before="240" w:line="360" w:lineRule="auto"/>
        <w:ind w:firstLine="567"/>
        <w:jc w:val="both"/>
        <w:rPr>
          <w:rFonts w:ascii="Times New Roman" w:hAnsi="Times New Roman" w:cs="Times New Roman"/>
          <w:sz w:val="28"/>
          <w:szCs w:val="28"/>
        </w:rPr>
      </w:pPr>
      <w:r w:rsidRPr="001505B0">
        <w:rPr>
          <w:rFonts w:ascii="Times New Roman" w:hAnsi="Times New Roman" w:cs="Times New Roman"/>
          <w:sz w:val="28"/>
          <w:szCs w:val="28"/>
        </w:rPr>
        <w:t>Были выделены дополнительные качественные характеристики</w:t>
      </w:r>
      <w:r>
        <w:rPr>
          <w:rFonts w:ascii="Times New Roman" w:hAnsi="Times New Roman" w:cs="Times New Roman"/>
          <w:sz w:val="28"/>
          <w:szCs w:val="28"/>
        </w:rPr>
        <w:t>:</w:t>
      </w:r>
    </w:p>
    <w:p w:rsidR="007E65EE" w:rsidRDefault="007E65EE" w:rsidP="007E65EE">
      <w:pPr>
        <w:pStyle w:val="a3"/>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С</w:t>
      </w:r>
      <w:r w:rsidR="001505B0">
        <w:rPr>
          <w:rFonts w:ascii="Times New Roman" w:hAnsi="Times New Roman" w:cs="Times New Roman"/>
          <w:sz w:val="28"/>
          <w:szCs w:val="28"/>
        </w:rPr>
        <w:t>опоставимость</w:t>
      </w:r>
    </w:p>
    <w:p w:rsidR="001505B0" w:rsidRDefault="001505B0" w:rsidP="001505B0">
      <w:pPr>
        <w:pStyle w:val="a3"/>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Своевременность</w:t>
      </w:r>
    </w:p>
    <w:p w:rsidR="001505B0" w:rsidRDefault="001505B0" w:rsidP="007E65EE">
      <w:pPr>
        <w:pStyle w:val="a3"/>
        <w:numPr>
          <w:ilvl w:val="0"/>
          <w:numId w:val="8"/>
        </w:numPr>
        <w:spacing w:before="24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Проверяемость</w:t>
      </w:r>
      <w:proofErr w:type="spellEnd"/>
    </w:p>
    <w:p w:rsidR="001505B0" w:rsidRDefault="001505B0" w:rsidP="007E65EE">
      <w:pPr>
        <w:pStyle w:val="a3"/>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Доступность для понимания</w:t>
      </w:r>
    </w:p>
    <w:p w:rsidR="001505B0" w:rsidRDefault="001505B0" w:rsidP="000634D3">
      <w:pPr>
        <w:spacing w:before="240" w:line="360" w:lineRule="auto"/>
        <w:ind w:firstLine="567"/>
        <w:jc w:val="both"/>
        <w:rPr>
          <w:rFonts w:ascii="Times New Roman" w:hAnsi="Times New Roman" w:cs="Times New Roman"/>
          <w:sz w:val="28"/>
          <w:szCs w:val="28"/>
        </w:rPr>
      </w:pPr>
      <w:r w:rsidRPr="001505B0">
        <w:rPr>
          <w:rFonts w:ascii="Times New Roman" w:hAnsi="Times New Roman" w:cs="Times New Roman"/>
          <w:sz w:val="28"/>
          <w:szCs w:val="28"/>
        </w:rPr>
        <w:t>Представляемая информация является предметом двух общих ограничений</w:t>
      </w:r>
      <w:r w:rsidR="000634D3">
        <w:rPr>
          <w:rFonts w:ascii="Times New Roman" w:hAnsi="Times New Roman" w:cs="Times New Roman"/>
          <w:sz w:val="28"/>
          <w:szCs w:val="28"/>
        </w:rPr>
        <w:t>:</w:t>
      </w:r>
    </w:p>
    <w:p w:rsidR="000634D3" w:rsidRDefault="000634D3" w:rsidP="000634D3">
      <w:pPr>
        <w:pStyle w:val="a3"/>
        <w:numPr>
          <w:ilvl w:val="0"/>
          <w:numId w:val="8"/>
        </w:numPr>
        <w:spacing w:before="240" w:line="360" w:lineRule="auto"/>
        <w:jc w:val="both"/>
        <w:rPr>
          <w:rFonts w:ascii="Times New Roman" w:hAnsi="Times New Roman" w:cs="Times New Roman"/>
          <w:sz w:val="28"/>
          <w:szCs w:val="28"/>
        </w:rPr>
      </w:pPr>
      <w:r w:rsidRPr="000634D3">
        <w:rPr>
          <w:rFonts w:ascii="Times New Roman" w:hAnsi="Times New Roman" w:cs="Times New Roman"/>
          <w:sz w:val="28"/>
          <w:szCs w:val="28"/>
        </w:rPr>
        <w:t>Существенность</w:t>
      </w:r>
    </w:p>
    <w:p w:rsidR="000634D3" w:rsidRDefault="000634D3" w:rsidP="000634D3">
      <w:pPr>
        <w:pStyle w:val="a3"/>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Затрат на подготовку</w:t>
      </w:r>
    </w:p>
    <w:p w:rsidR="007E65EE" w:rsidRPr="007E65EE" w:rsidRDefault="000634D3" w:rsidP="000634D3">
      <w:pPr>
        <w:spacing w:before="240" w:line="360" w:lineRule="auto"/>
        <w:ind w:firstLine="567"/>
        <w:jc w:val="both"/>
        <w:rPr>
          <w:rFonts w:ascii="Times New Roman" w:hAnsi="Times New Roman" w:cs="Times New Roman"/>
          <w:sz w:val="28"/>
          <w:szCs w:val="28"/>
        </w:rPr>
      </w:pPr>
      <w:r w:rsidRPr="000634D3">
        <w:rPr>
          <w:rFonts w:ascii="Times New Roman" w:hAnsi="Times New Roman" w:cs="Times New Roman"/>
          <w:sz w:val="28"/>
          <w:szCs w:val="28"/>
        </w:rPr>
        <w:t>Отдельно выделяется приоритет содержания над формой</w:t>
      </w:r>
      <w:r w:rsidR="00EF20A2">
        <w:rPr>
          <w:rFonts w:ascii="Times New Roman" w:hAnsi="Times New Roman" w:cs="Times New Roman"/>
          <w:sz w:val="28"/>
          <w:szCs w:val="28"/>
        </w:rPr>
        <w:t>.</w:t>
      </w:r>
    </w:p>
    <w:p w:rsidR="00D67A0C" w:rsidRPr="007E65EE" w:rsidRDefault="00EE190B" w:rsidP="007E65EE">
      <w:pPr>
        <w:rPr>
          <w:rFonts w:ascii="Times New Roman" w:hAnsi="Times New Roman" w:cs="Times New Roman"/>
          <w:sz w:val="28"/>
          <w:szCs w:val="28"/>
        </w:rPr>
      </w:pPr>
      <w:r>
        <w:rPr>
          <w:rFonts w:ascii="Times New Roman" w:hAnsi="Times New Roman" w:cs="Times New Roman"/>
          <w:sz w:val="28"/>
          <w:szCs w:val="28"/>
        </w:rPr>
        <w:br w:type="page"/>
      </w:r>
    </w:p>
    <w:p w:rsidR="00963018" w:rsidRPr="00EF0F4F" w:rsidRDefault="00D67A0C" w:rsidP="00EF0F4F">
      <w:pPr>
        <w:pStyle w:val="1"/>
        <w:rPr>
          <w:color w:val="auto"/>
          <w:sz w:val="32"/>
          <w:szCs w:val="32"/>
        </w:rPr>
      </w:pPr>
      <w:bookmarkStart w:id="7" w:name="_Toc347844811"/>
      <w:bookmarkStart w:id="8" w:name="_Toc356280306"/>
      <w:r w:rsidRPr="00EF0F4F">
        <w:rPr>
          <w:color w:val="auto"/>
          <w:sz w:val="32"/>
          <w:szCs w:val="32"/>
        </w:rPr>
        <w:lastRenderedPageBreak/>
        <w:t>Глава 2</w:t>
      </w:r>
      <w:r w:rsidR="00525828" w:rsidRPr="00EF0F4F">
        <w:rPr>
          <w:color w:val="auto"/>
          <w:sz w:val="32"/>
          <w:szCs w:val="32"/>
        </w:rPr>
        <w:t xml:space="preserve">. </w:t>
      </w:r>
      <w:r w:rsidRPr="00EF0F4F">
        <w:rPr>
          <w:color w:val="auto"/>
          <w:sz w:val="32"/>
          <w:szCs w:val="32"/>
        </w:rPr>
        <w:t>Практика применения МСФО в России</w:t>
      </w:r>
      <w:bookmarkEnd w:id="7"/>
      <w:bookmarkEnd w:id="8"/>
    </w:p>
    <w:p w:rsidR="00963018" w:rsidRDefault="00963018" w:rsidP="00EF0F4F">
      <w:pPr>
        <w:pStyle w:val="2"/>
        <w:rPr>
          <w:color w:val="000000" w:themeColor="text1"/>
        </w:rPr>
      </w:pPr>
      <w:bookmarkStart w:id="9" w:name="_Toc356280307"/>
      <w:r w:rsidRPr="00EF0F4F">
        <w:rPr>
          <w:color w:val="auto"/>
        </w:rPr>
        <w:t>История признания МСФО в России</w:t>
      </w:r>
      <w:bookmarkEnd w:id="9"/>
    </w:p>
    <w:p w:rsidR="00D61C38" w:rsidRPr="00D61C38" w:rsidRDefault="00D61C38" w:rsidP="00D61C38"/>
    <w:p w:rsidR="00EA245C" w:rsidRDefault="004A2C92" w:rsidP="00EA245C">
      <w:pPr>
        <w:pStyle w:val="a3"/>
        <w:spacing w:before="240" w:line="36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Первые разговоры о приведении отчётности </w:t>
      </w:r>
      <w:r w:rsidR="005300F8">
        <w:rPr>
          <w:rFonts w:ascii="Times New Roman" w:hAnsi="Times New Roman" w:cs="Times New Roman"/>
          <w:sz w:val="28"/>
          <w:szCs w:val="28"/>
        </w:rPr>
        <w:t>отечественных</w:t>
      </w:r>
      <w:r>
        <w:rPr>
          <w:rFonts w:ascii="Times New Roman" w:hAnsi="Times New Roman" w:cs="Times New Roman"/>
          <w:sz w:val="28"/>
          <w:szCs w:val="28"/>
        </w:rPr>
        <w:t xml:space="preserve"> компаний в соответствие со стандартами МСФО начались ещё во времена СССР</w:t>
      </w:r>
      <w:r w:rsidRPr="004A2C92">
        <w:rPr>
          <w:vertAlign w:val="superscript"/>
        </w:rPr>
        <w:footnoteReference w:id="12"/>
      </w:r>
      <w:r>
        <w:rPr>
          <w:rFonts w:ascii="Times New Roman" w:hAnsi="Times New Roman" w:cs="Times New Roman"/>
          <w:sz w:val="28"/>
          <w:szCs w:val="28"/>
        </w:rPr>
        <w:t xml:space="preserve">, а первый официальный шаг в этом направлении был сделан более 20 лет назад, при принятии </w:t>
      </w:r>
      <w:r w:rsidRPr="004A2C92">
        <w:rPr>
          <w:rFonts w:ascii="Times New Roman" w:hAnsi="Times New Roman" w:cs="Times New Roman"/>
          <w:sz w:val="28"/>
          <w:szCs w:val="28"/>
        </w:rPr>
        <w:t>Государственной программы перехода РФ на принятую в международной практике систему учета и статистики в соответствии с требованиями развития рыночной экономики</w:t>
      </w:r>
      <w:r>
        <w:rPr>
          <w:rStyle w:val="a6"/>
          <w:rFonts w:ascii="Times New Roman" w:hAnsi="Times New Roman" w:cs="Times New Roman"/>
          <w:sz w:val="28"/>
          <w:szCs w:val="28"/>
        </w:rPr>
        <w:footnoteReference w:id="13"/>
      </w:r>
      <w:r>
        <w:rPr>
          <w:rFonts w:ascii="Times New Roman" w:hAnsi="Times New Roman" w:cs="Times New Roman"/>
          <w:sz w:val="28"/>
          <w:szCs w:val="28"/>
        </w:rPr>
        <w:t xml:space="preserve">. </w:t>
      </w:r>
      <w:r w:rsidR="00963018">
        <w:rPr>
          <w:rFonts w:ascii="Times New Roman" w:hAnsi="Times New Roman" w:cs="Times New Roman"/>
          <w:sz w:val="28"/>
          <w:szCs w:val="28"/>
        </w:rPr>
        <w:t xml:space="preserve">С тех было </w:t>
      </w:r>
      <w:r w:rsidR="00EA245C">
        <w:rPr>
          <w:rFonts w:ascii="Times New Roman" w:hAnsi="Times New Roman" w:cs="Times New Roman"/>
          <w:sz w:val="28"/>
          <w:szCs w:val="28"/>
        </w:rPr>
        <w:t>разработано</w:t>
      </w:r>
      <w:r w:rsidR="00963018">
        <w:rPr>
          <w:rFonts w:ascii="Times New Roman" w:hAnsi="Times New Roman" w:cs="Times New Roman"/>
          <w:sz w:val="28"/>
          <w:szCs w:val="28"/>
        </w:rPr>
        <w:t xml:space="preserve"> несколько </w:t>
      </w:r>
      <w:r w:rsidR="00EA245C">
        <w:rPr>
          <w:rFonts w:ascii="Times New Roman" w:hAnsi="Times New Roman" w:cs="Times New Roman"/>
          <w:sz w:val="28"/>
          <w:szCs w:val="28"/>
        </w:rPr>
        <w:t>программ</w:t>
      </w:r>
      <w:r w:rsidR="00963018">
        <w:rPr>
          <w:rFonts w:ascii="Times New Roman" w:hAnsi="Times New Roman" w:cs="Times New Roman"/>
          <w:sz w:val="28"/>
          <w:szCs w:val="28"/>
        </w:rPr>
        <w:t xml:space="preserve"> реформирования и</w:t>
      </w:r>
      <w:proofErr w:type="gramEnd"/>
      <w:r w:rsidR="00963018">
        <w:rPr>
          <w:rFonts w:ascii="Times New Roman" w:hAnsi="Times New Roman" w:cs="Times New Roman"/>
          <w:sz w:val="28"/>
          <w:szCs w:val="28"/>
        </w:rPr>
        <w:t xml:space="preserve"> развития бухгалтерского учёта, с принятием каждой из которых переход на МСФО отодвигался по времени всё дальше</w:t>
      </w:r>
      <w:r w:rsidR="00931F40">
        <w:rPr>
          <w:rFonts w:ascii="Times New Roman" w:hAnsi="Times New Roman" w:cs="Times New Roman"/>
          <w:sz w:val="28"/>
          <w:szCs w:val="28"/>
        </w:rPr>
        <w:t>. Т</w:t>
      </w:r>
      <w:r w:rsidR="00963018">
        <w:rPr>
          <w:rFonts w:ascii="Times New Roman" w:hAnsi="Times New Roman" w:cs="Times New Roman"/>
          <w:sz w:val="28"/>
          <w:szCs w:val="28"/>
        </w:rPr>
        <w:t xml:space="preserve">ак, </w:t>
      </w:r>
      <w:r w:rsidR="001156E8">
        <w:rPr>
          <w:rFonts w:ascii="Times New Roman" w:hAnsi="Times New Roman" w:cs="Times New Roman"/>
          <w:sz w:val="28"/>
          <w:szCs w:val="28"/>
        </w:rPr>
        <w:t>в соответствии с первой из них</w:t>
      </w:r>
      <w:r w:rsidR="00EA245C">
        <w:rPr>
          <w:rFonts w:ascii="Times New Roman" w:hAnsi="Times New Roman" w:cs="Times New Roman"/>
          <w:sz w:val="28"/>
          <w:szCs w:val="28"/>
        </w:rPr>
        <w:t>, принятой в 1994 году,</w:t>
      </w:r>
      <w:r w:rsidR="00A25711">
        <w:rPr>
          <w:rFonts w:ascii="Times New Roman" w:hAnsi="Times New Roman" w:cs="Times New Roman"/>
          <w:sz w:val="28"/>
          <w:szCs w:val="28"/>
        </w:rPr>
        <w:t xml:space="preserve"> полны</w:t>
      </w:r>
      <w:r w:rsidR="00931F40">
        <w:rPr>
          <w:rFonts w:ascii="Times New Roman" w:hAnsi="Times New Roman" w:cs="Times New Roman"/>
          <w:sz w:val="28"/>
          <w:szCs w:val="28"/>
        </w:rPr>
        <w:t>й</w:t>
      </w:r>
      <w:r w:rsidR="00A25711">
        <w:rPr>
          <w:rFonts w:ascii="Times New Roman" w:hAnsi="Times New Roman" w:cs="Times New Roman"/>
          <w:sz w:val="28"/>
          <w:szCs w:val="28"/>
        </w:rPr>
        <w:t xml:space="preserve"> переход на МСФО должен был осуществиться до 2000 года, однако до сих пор все </w:t>
      </w:r>
      <w:r w:rsidR="00931F40">
        <w:rPr>
          <w:rFonts w:ascii="Times New Roman" w:hAnsi="Times New Roman" w:cs="Times New Roman"/>
          <w:sz w:val="28"/>
          <w:szCs w:val="28"/>
        </w:rPr>
        <w:t>без исключения</w:t>
      </w:r>
      <w:r w:rsidR="00EA245C">
        <w:rPr>
          <w:rFonts w:ascii="Times New Roman" w:hAnsi="Times New Roman" w:cs="Times New Roman"/>
          <w:sz w:val="28"/>
          <w:szCs w:val="28"/>
        </w:rPr>
        <w:t xml:space="preserve"> </w:t>
      </w:r>
      <w:r w:rsidR="00A25711">
        <w:rPr>
          <w:rFonts w:ascii="Times New Roman" w:hAnsi="Times New Roman" w:cs="Times New Roman"/>
          <w:sz w:val="28"/>
          <w:szCs w:val="28"/>
        </w:rPr>
        <w:t>российские компании обязаны предоставлять отчётность также и соответствии с РСБУ.</w:t>
      </w:r>
      <w:r w:rsidR="00EA245C">
        <w:rPr>
          <w:rFonts w:ascii="Times New Roman" w:hAnsi="Times New Roman" w:cs="Times New Roman"/>
          <w:sz w:val="28"/>
          <w:szCs w:val="28"/>
        </w:rPr>
        <w:t xml:space="preserve"> Однако хоть и медленно, но  законодательство движется к тому, чтобы обязать все российские компании </w:t>
      </w:r>
      <w:r w:rsidR="00931F40">
        <w:rPr>
          <w:rFonts w:ascii="Times New Roman" w:hAnsi="Times New Roman" w:cs="Times New Roman"/>
          <w:sz w:val="28"/>
          <w:szCs w:val="28"/>
        </w:rPr>
        <w:t xml:space="preserve">перейти на МСФО. В настоящее время, полный переход планируется сделать к 2015 году. </w:t>
      </w:r>
    </w:p>
    <w:p w:rsidR="00931F40" w:rsidRDefault="00931F40" w:rsidP="00EA245C">
      <w:pPr>
        <w:pStyle w:val="a3"/>
        <w:spacing w:before="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Этот процесс значительно активизировался в 2010 году, после решения «Большой двадцатки» о повсеместном введении МСФО до июля 2011.  Из-под сукна был извлечён и принят сразу во втором и третьем чтении закон, пролежавший там после принятия в первом чтении более пяти лет. Этот закон</w:t>
      </w:r>
      <w:r>
        <w:rPr>
          <w:rStyle w:val="a6"/>
          <w:rFonts w:ascii="Times New Roman" w:hAnsi="Times New Roman" w:cs="Times New Roman"/>
          <w:sz w:val="28"/>
          <w:szCs w:val="28"/>
        </w:rPr>
        <w:footnoteReference w:id="14"/>
      </w:r>
      <w:r>
        <w:rPr>
          <w:rFonts w:ascii="Times New Roman" w:hAnsi="Times New Roman" w:cs="Times New Roman"/>
          <w:sz w:val="28"/>
          <w:szCs w:val="28"/>
        </w:rPr>
        <w:t xml:space="preserve"> ввёл требование об обязательном применении МСФО для консолидированной отчётности всеми общественно значимыми компаниями. Список таких компаний включает:</w:t>
      </w:r>
    </w:p>
    <w:p w:rsidR="00931F40" w:rsidRDefault="00931F40" w:rsidP="00931F40">
      <w:pPr>
        <w:pStyle w:val="a3"/>
        <w:numPr>
          <w:ilvl w:val="0"/>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Страховые организации</w:t>
      </w:r>
    </w:p>
    <w:p w:rsidR="00931F40" w:rsidRDefault="00931F40" w:rsidP="00931F40">
      <w:pPr>
        <w:pStyle w:val="a3"/>
        <w:numPr>
          <w:ilvl w:val="0"/>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Кредитные организации</w:t>
      </w:r>
    </w:p>
    <w:p w:rsidR="00931F40" w:rsidRDefault="00931F40" w:rsidP="00931F40">
      <w:pPr>
        <w:pStyle w:val="a3"/>
        <w:numPr>
          <w:ilvl w:val="0"/>
          <w:numId w:val="9"/>
        </w:numPr>
        <w:spacing w:before="240" w:line="360" w:lineRule="auto"/>
        <w:ind w:left="284" w:firstLine="643"/>
        <w:jc w:val="both"/>
        <w:rPr>
          <w:rFonts w:ascii="Times New Roman" w:hAnsi="Times New Roman" w:cs="Times New Roman"/>
          <w:sz w:val="28"/>
          <w:szCs w:val="28"/>
        </w:rPr>
      </w:pPr>
      <w:r>
        <w:rPr>
          <w:rFonts w:ascii="Times New Roman" w:hAnsi="Times New Roman" w:cs="Times New Roman"/>
          <w:sz w:val="28"/>
          <w:szCs w:val="28"/>
        </w:rPr>
        <w:lastRenderedPageBreak/>
        <w:t>Иные организации, ценные бумаги которых допущены к обращению на организованных торгах (котируются на различных биржах, как российских, так и иностранных)</w:t>
      </w:r>
    </w:p>
    <w:p w:rsidR="005300F8" w:rsidRDefault="0010151B" w:rsidP="005300F8">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Первые 63 стандарта и интерпретации МСФО были признаны на территории РФ в 2011 году</w:t>
      </w:r>
      <w:r w:rsidR="005300F8">
        <w:rPr>
          <w:rFonts w:ascii="Times New Roman" w:hAnsi="Times New Roman" w:cs="Times New Roman"/>
          <w:sz w:val="28"/>
          <w:szCs w:val="28"/>
        </w:rPr>
        <w:t xml:space="preserve"> (так как стандарты не имеют в России прямого действия до процедуры признания)</w:t>
      </w:r>
      <w:r>
        <w:rPr>
          <w:rFonts w:ascii="Times New Roman" w:hAnsi="Times New Roman" w:cs="Times New Roman"/>
          <w:sz w:val="28"/>
          <w:szCs w:val="28"/>
        </w:rPr>
        <w:t xml:space="preserve">. Тем самым, компании из списка обязаны предоставлять консолидированную финансовую </w:t>
      </w:r>
      <w:proofErr w:type="gramStart"/>
      <w:r>
        <w:rPr>
          <w:rFonts w:ascii="Times New Roman" w:hAnsi="Times New Roman" w:cs="Times New Roman"/>
          <w:sz w:val="28"/>
          <w:szCs w:val="28"/>
        </w:rPr>
        <w:t>отчётнос</w:t>
      </w:r>
      <w:r w:rsidR="005300F8">
        <w:rPr>
          <w:rFonts w:ascii="Times New Roman" w:hAnsi="Times New Roman" w:cs="Times New Roman"/>
          <w:sz w:val="28"/>
          <w:szCs w:val="28"/>
        </w:rPr>
        <w:t>ть</w:t>
      </w:r>
      <w:proofErr w:type="gramEnd"/>
      <w:r w:rsidR="005300F8">
        <w:rPr>
          <w:rFonts w:ascii="Times New Roman" w:hAnsi="Times New Roman" w:cs="Times New Roman"/>
          <w:sz w:val="28"/>
          <w:szCs w:val="28"/>
        </w:rPr>
        <w:t xml:space="preserve"> по МСФО начиная с 2012 года.</w:t>
      </w:r>
    </w:p>
    <w:p w:rsidR="004A2C92" w:rsidRPr="0010151B" w:rsidRDefault="0010151B" w:rsidP="005300F8">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также отметить, что с вступлением России в ВТО процесс </w:t>
      </w:r>
      <w:r w:rsidR="005300F8">
        <w:rPr>
          <w:rFonts w:ascii="Times New Roman" w:hAnsi="Times New Roman" w:cs="Times New Roman"/>
          <w:sz w:val="28"/>
          <w:szCs w:val="28"/>
        </w:rPr>
        <w:t xml:space="preserve">перехода на МСФО активизировался ещё сильнее. Это объясняется тем, что для правильного понимания инвесторами и  прочими пользователями отчётности конъюнктуры рынка необходимо предоставлять отчётность, сопоставимую с отчётностью прочих компаний глобального рынка. </w:t>
      </w:r>
      <w:r w:rsidR="002E23E8">
        <w:rPr>
          <w:rFonts w:ascii="Times New Roman" w:hAnsi="Times New Roman" w:cs="Times New Roman"/>
          <w:sz w:val="28"/>
          <w:szCs w:val="28"/>
        </w:rPr>
        <w:t>По этой же причине для многих общественно значимых компаний изменилось лишь то, что они стали публиковать отчётность – часть из них уже давно добровольно готовила консолидированную отчётность в соответствии с МСФО для внутреннего пользования и котировки на международных биржах. Что же касается кредитных организаций, они обязаны публиковать такую отчётность с 2005 года.</w:t>
      </w:r>
    </w:p>
    <w:p w:rsidR="0010151B" w:rsidRDefault="00963018" w:rsidP="00EF0F4F">
      <w:pPr>
        <w:pStyle w:val="2"/>
        <w:rPr>
          <w:color w:val="000000" w:themeColor="text1"/>
        </w:rPr>
      </w:pPr>
      <w:bookmarkStart w:id="10" w:name="_Toc356280308"/>
      <w:r w:rsidRPr="00EF0F4F">
        <w:rPr>
          <w:color w:val="auto"/>
        </w:rPr>
        <w:t>Основные отличия МСФО от РСБУ</w:t>
      </w:r>
      <w:bookmarkEnd w:id="10"/>
    </w:p>
    <w:p w:rsidR="005300F8" w:rsidRDefault="005300F8" w:rsidP="005300F8">
      <w:pPr>
        <w:spacing w:before="240" w:line="360" w:lineRule="auto"/>
        <w:ind w:firstLine="567"/>
        <w:jc w:val="both"/>
        <w:rPr>
          <w:rFonts w:ascii="Times New Roman" w:hAnsi="Times New Roman" w:cs="Times New Roman"/>
          <w:sz w:val="28"/>
          <w:szCs w:val="28"/>
        </w:rPr>
      </w:pPr>
      <w:r w:rsidRPr="005300F8">
        <w:rPr>
          <w:rFonts w:ascii="Times New Roman" w:hAnsi="Times New Roman" w:cs="Times New Roman"/>
          <w:sz w:val="28"/>
          <w:szCs w:val="28"/>
        </w:rPr>
        <w:t xml:space="preserve">Длительность процесса </w:t>
      </w:r>
      <w:r>
        <w:rPr>
          <w:rFonts w:ascii="Times New Roman" w:hAnsi="Times New Roman" w:cs="Times New Roman"/>
          <w:sz w:val="28"/>
          <w:szCs w:val="28"/>
        </w:rPr>
        <w:t>перехода России на МСФО можно объяснить значительными различиями между ними и при</w:t>
      </w:r>
      <w:r w:rsidR="002E23E8">
        <w:rPr>
          <w:rFonts w:ascii="Times New Roman" w:hAnsi="Times New Roman" w:cs="Times New Roman"/>
          <w:sz w:val="28"/>
          <w:szCs w:val="28"/>
        </w:rPr>
        <w:t>вычными российскими стандартами, и главное из них кроется уже в самом назначении отчётности</w:t>
      </w:r>
      <w:r w:rsidR="009B2582">
        <w:rPr>
          <w:rFonts w:ascii="Times New Roman" w:hAnsi="Times New Roman" w:cs="Times New Roman"/>
          <w:sz w:val="28"/>
          <w:szCs w:val="28"/>
        </w:rPr>
        <w:t xml:space="preserve">. </w:t>
      </w:r>
      <w:r w:rsidR="002E23E8">
        <w:rPr>
          <w:rFonts w:ascii="Times New Roman" w:hAnsi="Times New Roman" w:cs="Times New Roman"/>
          <w:sz w:val="28"/>
          <w:szCs w:val="28"/>
        </w:rPr>
        <w:t xml:space="preserve"> </w:t>
      </w:r>
      <w:r w:rsidR="009B2582">
        <w:rPr>
          <w:rFonts w:ascii="Times New Roman" w:hAnsi="Times New Roman" w:cs="Times New Roman"/>
          <w:sz w:val="28"/>
          <w:szCs w:val="28"/>
        </w:rPr>
        <w:t>Т</w:t>
      </w:r>
      <w:r w:rsidR="002E23E8">
        <w:rPr>
          <w:rFonts w:ascii="Times New Roman" w:hAnsi="Times New Roman" w:cs="Times New Roman"/>
          <w:sz w:val="28"/>
          <w:szCs w:val="28"/>
        </w:rPr>
        <w:t xml:space="preserve">ак, </w:t>
      </w:r>
      <w:r w:rsidR="009B2582">
        <w:rPr>
          <w:rFonts w:ascii="Times New Roman" w:hAnsi="Times New Roman" w:cs="Times New Roman"/>
          <w:sz w:val="28"/>
          <w:szCs w:val="28"/>
        </w:rPr>
        <w:t xml:space="preserve">МСФО нацелены в основном на потенциальных инвесторов и финансовые институты, тогда как РСБУ были изначально разработаны для фискальных органов, органов государственного управления и статистики. </w:t>
      </w:r>
      <w:r w:rsidR="002E23E8">
        <w:rPr>
          <w:rFonts w:ascii="Times New Roman" w:hAnsi="Times New Roman" w:cs="Times New Roman"/>
          <w:sz w:val="28"/>
          <w:szCs w:val="28"/>
        </w:rPr>
        <w:t xml:space="preserve"> </w:t>
      </w:r>
      <w:r w:rsidR="009B2582">
        <w:rPr>
          <w:rFonts w:ascii="Times New Roman" w:hAnsi="Times New Roman" w:cs="Times New Roman"/>
          <w:sz w:val="28"/>
          <w:szCs w:val="28"/>
        </w:rPr>
        <w:t xml:space="preserve">Это привело не только к изначальным различиям, но и к дальнейшему развитию стандартов и принципов, лежащих в их основе, в различных </w:t>
      </w:r>
      <w:r w:rsidR="009B2582">
        <w:rPr>
          <w:rFonts w:ascii="Times New Roman" w:hAnsi="Times New Roman" w:cs="Times New Roman"/>
          <w:sz w:val="28"/>
          <w:szCs w:val="28"/>
        </w:rPr>
        <w:lastRenderedPageBreak/>
        <w:t xml:space="preserve">направлениях. </w:t>
      </w:r>
      <w:proofErr w:type="gramStart"/>
      <w:r w:rsidR="00D61C38">
        <w:rPr>
          <w:rFonts w:ascii="Times New Roman" w:hAnsi="Times New Roman" w:cs="Times New Roman"/>
          <w:sz w:val="28"/>
          <w:szCs w:val="28"/>
        </w:rPr>
        <w:t>В последние 10 лет идёт процесс постепенного приближения РСБУ к МСФО, но он ещё далеко не завершён.</w:t>
      </w:r>
      <w:proofErr w:type="gramEnd"/>
      <w:r w:rsidR="00D61C38">
        <w:rPr>
          <w:rFonts w:ascii="Times New Roman" w:hAnsi="Times New Roman" w:cs="Times New Roman"/>
          <w:sz w:val="28"/>
          <w:szCs w:val="28"/>
        </w:rPr>
        <w:t xml:space="preserve"> </w:t>
      </w:r>
      <w:r w:rsidR="009B2582">
        <w:rPr>
          <w:rFonts w:ascii="Times New Roman" w:hAnsi="Times New Roman" w:cs="Times New Roman"/>
          <w:sz w:val="28"/>
          <w:szCs w:val="28"/>
        </w:rPr>
        <w:t>В итоге, на данный момент можно выделить достаточно много существенных отличий РСБУ от МСФО:</w:t>
      </w:r>
    </w:p>
    <w:p w:rsidR="009B2582" w:rsidRDefault="009B2582" w:rsidP="009B2582">
      <w:pPr>
        <w:pStyle w:val="a3"/>
        <w:numPr>
          <w:ilvl w:val="0"/>
          <w:numId w:val="10"/>
        </w:numPr>
        <w:spacing w:before="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МСФО первично содержание, для РСБУ – форма. Если МСФО ориентировано на освещение экономической сущности операций, то РСБУ уделяет огромное внимание юридической форме и техническим процедурам учёта, зачастую в ущерб прозрачности </w:t>
      </w:r>
      <w:proofErr w:type="gramStart"/>
      <w:r>
        <w:rPr>
          <w:rFonts w:ascii="Times New Roman" w:hAnsi="Times New Roman" w:cs="Times New Roman"/>
          <w:sz w:val="28"/>
          <w:szCs w:val="28"/>
        </w:rPr>
        <w:t>отчётности</w:t>
      </w:r>
      <w:proofErr w:type="gramEnd"/>
      <w:r>
        <w:rPr>
          <w:rFonts w:ascii="Times New Roman" w:hAnsi="Times New Roman" w:cs="Times New Roman"/>
          <w:sz w:val="28"/>
          <w:szCs w:val="28"/>
        </w:rPr>
        <w:t xml:space="preserve"> а акцентированию на действительно важных моментах;</w:t>
      </w:r>
    </w:p>
    <w:p w:rsidR="009B2582" w:rsidRDefault="009B2582" w:rsidP="009B2582">
      <w:pPr>
        <w:pStyle w:val="a3"/>
        <w:numPr>
          <w:ilvl w:val="0"/>
          <w:numId w:val="10"/>
        </w:numPr>
        <w:spacing w:before="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РСБУ отчётная дата совпадает с окончанием календарного года, в МСФО компания может самост</w:t>
      </w:r>
      <w:r w:rsidR="0056704E">
        <w:rPr>
          <w:rFonts w:ascii="Times New Roman" w:hAnsi="Times New Roman" w:cs="Times New Roman"/>
          <w:sz w:val="28"/>
          <w:szCs w:val="28"/>
        </w:rPr>
        <w:t>оятельно выбрать отчётную дату, главное, чтобы из раза в раз отчётные периоды и даты совпадали.</w:t>
      </w:r>
    </w:p>
    <w:p w:rsidR="0056704E" w:rsidRDefault="0056704E" w:rsidP="009B2582">
      <w:pPr>
        <w:pStyle w:val="a3"/>
        <w:numPr>
          <w:ilvl w:val="0"/>
          <w:numId w:val="10"/>
        </w:numPr>
        <w:spacing w:before="24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Методология РСБУ зиждется на плане счетов и корреспонденции между ними, тогда как в МСФО в принципе отсутствуе</w:t>
      </w:r>
      <w:r w:rsidR="008144E0">
        <w:rPr>
          <w:rFonts w:ascii="Times New Roman" w:hAnsi="Times New Roman" w:cs="Times New Roman"/>
          <w:sz w:val="28"/>
          <w:szCs w:val="28"/>
        </w:rPr>
        <w:t xml:space="preserve">т понятие бухгалтерского счёта. Для отражения операций и корреспонденции используются названия элементов отчётности или характер доходов и расходов. </w:t>
      </w:r>
    </w:p>
    <w:p w:rsidR="00D61C38" w:rsidRDefault="008144E0" w:rsidP="00D61C38">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кроме принципиальных различий, имеется ряд других, не менее существенных (к примеру, иной порядок </w:t>
      </w:r>
      <w:r w:rsidR="00D61C38">
        <w:rPr>
          <w:rFonts w:ascii="Times New Roman" w:hAnsi="Times New Roman" w:cs="Times New Roman"/>
          <w:sz w:val="28"/>
          <w:szCs w:val="28"/>
        </w:rPr>
        <w:t xml:space="preserve">оценки </w:t>
      </w:r>
      <w:proofErr w:type="spellStart"/>
      <w:r w:rsidR="00D61C38">
        <w:rPr>
          <w:rFonts w:ascii="Times New Roman" w:hAnsi="Times New Roman" w:cs="Times New Roman"/>
          <w:sz w:val="28"/>
          <w:szCs w:val="28"/>
        </w:rPr>
        <w:t>внеоборотных</w:t>
      </w:r>
      <w:proofErr w:type="spellEnd"/>
      <w:r w:rsidR="00D61C38">
        <w:rPr>
          <w:rFonts w:ascii="Times New Roman" w:hAnsi="Times New Roman" w:cs="Times New Roman"/>
          <w:sz w:val="28"/>
          <w:szCs w:val="28"/>
        </w:rPr>
        <w:t xml:space="preserve"> активов</w:t>
      </w:r>
      <w:r w:rsidR="000634D3">
        <w:rPr>
          <w:rFonts w:ascii="Times New Roman" w:hAnsi="Times New Roman" w:cs="Times New Roman"/>
          <w:sz w:val="28"/>
          <w:szCs w:val="28"/>
        </w:rPr>
        <w:t xml:space="preserve"> на отчётную дату</w:t>
      </w:r>
      <w:r w:rsidR="00D61C38">
        <w:rPr>
          <w:rFonts w:ascii="Times New Roman" w:hAnsi="Times New Roman" w:cs="Times New Roman"/>
          <w:sz w:val="28"/>
          <w:szCs w:val="28"/>
        </w:rPr>
        <w:t>).</w:t>
      </w:r>
    </w:p>
    <w:p w:rsidR="00923EFB" w:rsidRDefault="000A467F" w:rsidP="00450495">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Сама профессия бухгалтера имеет разное значени</w:t>
      </w:r>
      <w:r w:rsidR="00450495">
        <w:rPr>
          <w:rFonts w:ascii="Times New Roman" w:hAnsi="Times New Roman" w:cs="Times New Roman"/>
          <w:sz w:val="28"/>
          <w:szCs w:val="28"/>
        </w:rPr>
        <w:t>е</w:t>
      </w:r>
      <w:r>
        <w:rPr>
          <w:rFonts w:ascii="Times New Roman" w:hAnsi="Times New Roman" w:cs="Times New Roman"/>
          <w:sz w:val="28"/>
          <w:szCs w:val="28"/>
        </w:rPr>
        <w:t xml:space="preserve"> – если в РСБУ это просто человек, который кропотливо записывает нужные операции в установленные строки, то бухгалтер МСФО – это уже финансист, которому для работы требуются знания в области оценки, аудита, финансового менеджмента.</w:t>
      </w:r>
    </w:p>
    <w:p w:rsidR="0010151B" w:rsidRPr="00D61C38" w:rsidRDefault="00D61C38" w:rsidP="00D61C38">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Всё это существенно затрудняет подготовку отчётности по стандартам МСФО компаниям, которые обязаны это сделать, но ещё большие трудности вызывает </w:t>
      </w:r>
      <w:r w:rsidR="000634D3">
        <w:rPr>
          <w:rFonts w:ascii="Times New Roman" w:hAnsi="Times New Roman" w:cs="Times New Roman"/>
          <w:sz w:val="28"/>
          <w:szCs w:val="28"/>
        </w:rPr>
        <w:t xml:space="preserve">низкий </w:t>
      </w:r>
      <w:r>
        <w:rPr>
          <w:rFonts w:ascii="Times New Roman" w:hAnsi="Times New Roman" w:cs="Times New Roman"/>
          <w:sz w:val="28"/>
          <w:szCs w:val="28"/>
        </w:rPr>
        <w:t xml:space="preserve">уровень </w:t>
      </w:r>
      <w:r w:rsidR="000634D3">
        <w:rPr>
          <w:rFonts w:ascii="Times New Roman" w:hAnsi="Times New Roman" w:cs="Times New Roman"/>
          <w:sz w:val="28"/>
          <w:szCs w:val="28"/>
        </w:rPr>
        <w:t xml:space="preserve">развития </w:t>
      </w:r>
      <w:r>
        <w:rPr>
          <w:rFonts w:ascii="Times New Roman" w:hAnsi="Times New Roman" w:cs="Times New Roman"/>
          <w:sz w:val="28"/>
          <w:szCs w:val="28"/>
        </w:rPr>
        <w:t>корпоративного управления в российских компаниях. Он</w:t>
      </w:r>
      <w:r w:rsidR="000634D3">
        <w:rPr>
          <w:rFonts w:ascii="Times New Roman" w:hAnsi="Times New Roman" w:cs="Times New Roman"/>
          <w:sz w:val="28"/>
          <w:szCs w:val="28"/>
        </w:rPr>
        <w:t>о</w:t>
      </w:r>
      <w:r>
        <w:rPr>
          <w:rFonts w:ascii="Times New Roman" w:hAnsi="Times New Roman" w:cs="Times New Roman"/>
          <w:sz w:val="28"/>
          <w:szCs w:val="28"/>
        </w:rPr>
        <w:t xml:space="preserve"> зачастую сильно отличается от единого формата </w:t>
      </w:r>
      <w:r>
        <w:rPr>
          <w:rFonts w:ascii="Times New Roman" w:hAnsi="Times New Roman" w:cs="Times New Roman"/>
          <w:sz w:val="28"/>
          <w:szCs w:val="28"/>
        </w:rPr>
        <w:lastRenderedPageBreak/>
        <w:t>корпоративного формата и финансового менеджмента, который принят во всём мире благодаря МСФО. С другой стороны, это указывает на то, что именно МСФО поможет российским корпорациям наиболее быстро и безболезненно принять новый формат и стать полноценной частью мировой экономики.</w:t>
      </w:r>
    </w:p>
    <w:p w:rsidR="00963018" w:rsidRPr="00EF0F4F" w:rsidRDefault="00D61C38" w:rsidP="00EF0F4F">
      <w:pPr>
        <w:pStyle w:val="2"/>
        <w:rPr>
          <w:color w:val="auto"/>
        </w:rPr>
      </w:pPr>
      <w:bookmarkStart w:id="11" w:name="_Toc356280309"/>
      <w:r w:rsidRPr="00EF0F4F">
        <w:rPr>
          <w:color w:val="auto"/>
        </w:rPr>
        <w:t xml:space="preserve">Методы </w:t>
      </w:r>
      <w:r w:rsidR="00963018" w:rsidRPr="00EF0F4F">
        <w:rPr>
          <w:color w:val="auto"/>
        </w:rPr>
        <w:t>подготовки отчётности в соответствии с МСФО</w:t>
      </w:r>
      <w:bookmarkEnd w:id="11"/>
    </w:p>
    <w:p w:rsidR="00D61C38" w:rsidRDefault="00D61C38" w:rsidP="00D61C38"/>
    <w:p w:rsidR="00AC071F" w:rsidRDefault="00D61C38" w:rsidP="00AC071F">
      <w:pPr>
        <w:spacing w:before="240" w:line="360" w:lineRule="auto"/>
        <w:ind w:firstLine="567"/>
        <w:jc w:val="both"/>
        <w:rPr>
          <w:rFonts w:ascii="Times New Roman" w:hAnsi="Times New Roman" w:cs="Times New Roman"/>
          <w:sz w:val="28"/>
          <w:szCs w:val="28"/>
        </w:rPr>
      </w:pPr>
      <w:r w:rsidRPr="00D61C38">
        <w:rPr>
          <w:rFonts w:ascii="Times New Roman" w:hAnsi="Times New Roman" w:cs="Times New Roman"/>
          <w:sz w:val="28"/>
          <w:szCs w:val="28"/>
        </w:rPr>
        <w:t>На данный момент, в России практикуются два основных метода подготовки отчётности в соответствии с МСФО: трансформация и параллельный учёт.</w:t>
      </w:r>
      <w:r>
        <w:rPr>
          <w:rFonts w:ascii="Times New Roman" w:hAnsi="Times New Roman" w:cs="Times New Roman"/>
          <w:sz w:val="28"/>
          <w:szCs w:val="28"/>
        </w:rPr>
        <w:t xml:space="preserve"> </w:t>
      </w:r>
      <w:r w:rsidR="00AC071F">
        <w:rPr>
          <w:rFonts w:ascii="Times New Roman" w:hAnsi="Times New Roman" w:cs="Times New Roman"/>
          <w:sz w:val="28"/>
          <w:szCs w:val="28"/>
        </w:rPr>
        <w:t xml:space="preserve">Суть метода трансформации заключается в том, что уже готовая отчётность по РСБУ </w:t>
      </w:r>
      <w:proofErr w:type="gramStart"/>
      <w:r w:rsidR="00AC071F">
        <w:rPr>
          <w:rFonts w:ascii="Times New Roman" w:hAnsi="Times New Roman" w:cs="Times New Roman"/>
          <w:sz w:val="28"/>
          <w:szCs w:val="28"/>
        </w:rPr>
        <w:t>приводится</w:t>
      </w:r>
      <w:proofErr w:type="gramEnd"/>
      <w:r w:rsidR="00AC071F">
        <w:rPr>
          <w:rFonts w:ascii="Times New Roman" w:hAnsi="Times New Roman" w:cs="Times New Roman"/>
          <w:sz w:val="28"/>
          <w:szCs w:val="28"/>
        </w:rPr>
        <w:t xml:space="preserve"> в соответствие с МСФО</w:t>
      </w:r>
      <w:r w:rsidR="000634D3">
        <w:rPr>
          <w:rFonts w:ascii="Times New Roman" w:hAnsi="Times New Roman" w:cs="Times New Roman"/>
          <w:sz w:val="28"/>
          <w:szCs w:val="28"/>
        </w:rPr>
        <w:t xml:space="preserve"> путём пересмотрения и корректирования</w:t>
      </w:r>
      <w:r w:rsidR="00AC071F">
        <w:rPr>
          <w:rFonts w:ascii="Times New Roman" w:hAnsi="Times New Roman" w:cs="Times New Roman"/>
          <w:sz w:val="28"/>
          <w:szCs w:val="28"/>
        </w:rPr>
        <w:t>, в то время как при параллельном учёте одновременно формируются оба вида финансовой отчётности.</w:t>
      </w:r>
    </w:p>
    <w:p w:rsidR="000634D3" w:rsidRPr="000634D3" w:rsidRDefault="00AC071F" w:rsidP="000634D3">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Трудно однозначно ответить на вопрос, какой метод лучше, у каждого из них есть свои достоинства и недостатки. В абсолютном большинстве случаев трансформацией отчётности занимается отдельный отдел, тогда как параллельный учёт ведётся автоматически. На начальном этапе трансформация дешевле, так как для параллельного учёта требуется дорогостоящая система</w:t>
      </w:r>
      <w:r w:rsidR="000634D3">
        <w:rPr>
          <w:rFonts w:ascii="Times New Roman" w:hAnsi="Times New Roman" w:cs="Times New Roman"/>
          <w:sz w:val="28"/>
          <w:szCs w:val="28"/>
        </w:rPr>
        <w:t xml:space="preserve"> (которая не застрахована от сбоев, устранить которые подчас очень сложно и дорого)</w:t>
      </w:r>
      <w:r>
        <w:rPr>
          <w:rFonts w:ascii="Times New Roman" w:hAnsi="Times New Roman" w:cs="Times New Roman"/>
          <w:sz w:val="28"/>
          <w:szCs w:val="28"/>
        </w:rPr>
        <w:t xml:space="preserve">, но со временем стоимость методов выравнивается за счёт зарплаты сотрудникам отдела трансформации. </w:t>
      </w:r>
      <w:r w:rsidR="000634D3" w:rsidRPr="000634D3">
        <w:rPr>
          <w:rFonts w:ascii="Times New Roman" w:hAnsi="Times New Roman" w:cs="Times New Roman"/>
          <w:sz w:val="28"/>
          <w:szCs w:val="28"/>
        </w:rPr>
        <w:t>Трансформация отчетности становиться крайне затруднительным процессом при возрастании объемов операций, накапливании корректирующих проводок прошлых периодов. Человеческий фактор заключается в том</w:t>
      </w:r>
      <w:r w:rsidR="000634D3">
        <w:rPr>
          <w:rFonts w:ascii="Times New Roman" w:hAnsi="Times New Roman" w:cs="Times New Roman"/>
          <w:sz w:val="28"/>
          <w:szCs w:val="28"/>
        </w:rPr>
        <w:t>,</w:t>
      </w:r>
      <w:r w:rsidR="000634D3" w:rsidRPr="000634D3">
        <w:rPr>
          <w:rFonts w:ascii="Times New Roman" w:hAnsi="Times New Roman" w:cs="Times New Roman"/>
          <w:sz w:val="28"/>
          <w:szCs w:val="28"/>
        </w:rPr>
        <w:t xml:space="preserve"> что команда, которая в ручную делает трансформацию, может уволиться в полном составе (такие прец</w:t>
      </w:r>
      <w:r w:rsidR="000634D3">
        <w:rPr>
          <w:rFonts w:ascii="Times New Roman" w:hAnsi="Times New Roman" w:cs="Times New Roman"/>
          <w:sz w:val="28"/>
          <w:szCs w:val="28"/>
        </w:rPr>
        <w:t>е</w:t>
      </w:r>
      <w:r w:rsidR="000634D3" w:rsidRPr="000634D3">
        <w:rPr>
          <w:rFonts w:ascii="Times New Roman" w:hAnsi="Times New Roman" w:cs="Times New Roman"/>
          <w:sz w:val="28"/>
          <w:szCs w:val="28"/>
        </w:rPr>
        <w:t>денты довольно были довольно часто) и унести с собой все знания.</w:t>
      </w:r>
    </w:p>
    <w:p w:rsidR="000634D3" w:rsidRDefault="000634D3" w:rsidP="00AC071F">
      <w:pPr>
        <w:spacing w:before="240" w:line="360" w:lineRule="auto"/>
        <w:ind w:firstLine="567"/>
        <w:jc w:val="both"/>
        <w:rPr>
          <w:rFonts w:ascii="Times New Roman" w:hAnsi="Times New Roman" w:cs="Times New Roman"/>
          <w:sz w:val="28"/>
          <w:szCs w:val="28"/>
        </w:rPr>
      </w:pPr>
    </w:p>
    <w:p w:rsidR="00AC071F" w:rsidRDefault="00AC071F" w:rsidP="00AC071F">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 качественной точки зрения всё тоже далеко не однозначно – несмотря на то, что у каждой компании есть своя учётная политика, она и МСФО в целом не задают жёстких рамок отражения тех или иных операций или активов. Получается, что параллельный учёт </w:t>
      </w:r>
      <w:r w:rsidR="000634D3">
        <w:rPr>
          <w:rFonts w:ascii="Times New Roman" w:hAnsi="Times New Roman" w:cs="Times New Roman"/>
          <w:sz w:val="28"/>
          <w:szCs w:val="28"/>
        </w:rPr>
        <w:t xml:space="preserve">после настройки системы </w:t>
      </w:r>
      <w:r>
        <w:rPr>
          <w:rFonts w:ascii="Times New Roman" w:hAnsi="Times New Roman" w:cs="Times New Roman"/>
          <w:sz w:val="28"/>
          <w:szCs w:val="28"/>
        </w:rPr>
        <w:t xml:space="preserve">защищает от ошибок, вызванных человеческим фактором, но трансформация помогает отчётности наиболее гибко подстраиваться по конкретные нужды компании. </w:t>
      </w:r>
    </w:p>
    <w:p w:rsidR="00450495" w:rsidRPr="00450495" w:rsidRDefault="00450495" w:rsidP="00EF0F4F">
      <w:pPr>
        <w:pStyle w:val="2"/>
        <w:rPr>
          <w:color w:val="000000" w:themeColor="text1"/>
        </w:rPr>
      </w:pPr>
      <w:bookmarkStart w:id="12" w:name="_Toc356280310"/>
      <w:r w:rsidRPr="00EF0F4F">
        <w:rPr>
          <w:color w:val="auto"/>
        </w:rPr>
        <w:t>Особенности применения МСФО в телекоммуникационной отрасли</w:t>
      </w:r>
      <w:bookmarkEnd w:id="12"/>
      <w:r w:rsidRPr="00EF0F4F">
        <w:rPr>
          <w:color w:val="auto"/>
        </w:rPr>
        <w:t xml:space="preserve"> </w:t>
      </w:r>
    </w:p>
    <w:p w:rsidR="00ED3741" w:rsidRDefault="00ED3741" w:rsidP="00AC071F">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последние годы российские телекоммуникационные компании всё активнее выходят на международные рынки капитала, что делает для них применение МСФО жизненной необходимостью. Естественно, данный переход сопряжен с некоторыми сложностями, связанных с принципиальными отличиями между МСФО и РСБУ и мягкостью рамок МСФО, позволяющей трактовать некоторые вещи по-разному и, соответственно, порождающей достаточно серьёзные различия в учётных политиках разных компаний.</w:t>
      </w:r>
    </w:p>
    <w:p w:rsidR="000634D3" w:rsidRDefault="00450495" w:rsidP="00AC071F">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телекоммуникационной отрасли не существует отдельного стандарта МСФО, однако при трансформации отчётности (а именно метод трансформации используется подавляющим большинством российских телекоммуникационных компаний) </w:t>
      </w:r>
      <w:r w:rsidR="00687F85">
        <w:rPr>
          <w:rFonts w:ascii="Times New Roman" w:hAnsi="Times New Roman" w:cs="Times New Roman"/>
          <w:sz w:val="28"/>
          <w:szCs w:val="28"/>
        </w:rPr>
        <w:t xml:space="preserve">существует некоторое количество особенностей, которых нет ни в одной другой отрасли. </w:t>
      </w:r>
      <w:r>
        <w:rPr>
          <w:rFonts w:ascii="Times New Roman" w:hAnsi="Times New Roman" w:cs="Times New Roman"/>
          <w:sz w:val="28"/>
          <w:szCs w:val="28"/>
        </w:rPr>
        <w:t xml:space="preserve"> </w:t>
      </w:r>
      <w:r w:rsidR="00ED3741">
        <w:rPr>
          <w:rFonts w:ascii="Times New Roman" w:hAnsi="Times New Roman" w:cs="Times New Roman"/>
          <w:sz w:val="28"/>
          <w:szCs w:val="28"/>
        </w:rPr>
        <w:t xml:space="preserve">Не в последнюю очередь это связано с уже упомянутым бурным развитием отрасли: эволюция стандартов МСФО просто не успевает за постоянными нововведениями. </w:t>
      </w:r>
    </w:p>
    <w:p w:rsidR="00F145A0" w:rsidRDefault="00F145A0" w:rsidP="00F145A0">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Говоря о конкретных особенностях применения МСФО, я хочу затронуть несколько вопросов, которые я считаю наиболее важными как для владельцев, так и для инвесторов компании. И первый и, пожалуй, самый субъективный и сложный – это признание выручки.  </w:t>
      </w:r>
    </w:p>
    <w:p w:rsidR="00F145A0" w:rsidRDefault="00F145A0" w:rsidP="00AC071F">
      <w:pPr>
        <w:spacing w:before="240" w:line="360" w:lineRule="auto"/>
        <w:ind w:firstLine="567"/>
        <w:jc w:val="both"/>
        <w:rPr>
          <w:rFonts w:ascii="Times New Roman" w:hAnsi="Times New Roman" w:cs="Times New Roman"/>
          <w:sz w:val="28"/>
          <w:szCs w:val="28"/>
        </w:rPr>
      </w:pPr>
    </w:p>
    <w:p w:rsidR="005C6C0B" w:rsidRPr="00F145A0" w:rsidRDefault="002A530E" w:rsidP="00F145A0">
      <w:pPr>
        <w:pStyle w:val="2"/>
        <w:rPr>
          <w:color w:val="000000" w:themeColor="text1"/>
        </w:rPr>
      </w:pPr>
      <w:bookmarkStart w:id="13" w:name="_Toc356280311"/>
      <w:r w:rsidRPr="00EF0F4F">
        <w:rPr>
          <w:color w:val="auto"/>
        </w:rPr>
        <w:t>Признание выручки по МСФО</w:t>
      </w:r>
      <w:bookmarkEnd w:id="13"/>
    </w:p>
    <w:p w:rsidR="005C6C0B" w:rsidRDefault="005C6C0B" w:rsidP="00AC071F">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Признание выручки телекоммуникационных компаний сегодня осуществляется в соответствии со стандартом </w:t>
      </w:r>
      <w:r w:rsidRPr="000C16CA">
        <w:rPr>
          <w:rFonts w:ascii="Times New Roman" w:eastAsia="Times New Roman" w:hAnsi="Times New Roman" w:cs="Times New Roman"/>
          <w:sz w:val="28"/>
          <w:szCs w:val="28"/>
          <w:lang w:eastAsia="ru-RU"/>
        </w:rPr>
        <w:t>МСФО (IAS) 18 "Выручка" (</w:t>
      </w:r>
      <w:proofErr w:type="spellStart"/>
      <w:r w:rsidRPr="000C16CA">
        <w:rPr>
          <w:rFonts w:ascii="Times New Roman" w:eastAsia="Times New Roman" w:hAnsi="Times New Roman" w:cs="Times New Roman"/>
          <w:sz w:val="28"/>
          <w:szCs w:val="28"/>
          <w:lang w:eastAsia="ru-RU"/>
        </w:rPr>
        <w:t>Revenue</w:t>
      </w:r>
      <w:proofErr w:type="spellEnd"/>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который, во-первых, в некоторых деталях противоречит Концепции по МСФО и, во-вторых, оставляет отдельные </w:t>
      </w:r>
      <w:r w:rsidR="006375DD">
        <w:rPr>
          <w:rFonts w:ascii="Times New Roman" w:hAnsi="Times New Roman" w:cs="Times New Roman"/>
          <w:sz w:val="28"/>
          <w:szCs w:val="28"/>
        </w:rPr>
        <w:t>вопросы, важные для отрасли, не освещёнными.</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Выручка – это валовые поступления экономических выгод за период, возникающих в ходе обычной (основной) деятельности компании, когда их результатом является прирост капитала, отличный от прироста капитала за счет взносов акционеров.</w:t>
      </w:r>
    </w:p>
    <w:p w:rsid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Выручка включает только валовые поступления экономических выгод, полученных или подлежащих получению в пользу компании. Суммы, полученные в пользу третьей стороны, такие как, например, налоги (в том числе НДС) не являются экономическими выгодами и не включаются в сумму выручки.</w:t>
      </w:r>
    </w:p>
    <w:p w:rsidR="00317856" w:rsidRPr="003D34E9" w:rsidRDefault="004A5B89" w:rsidP="00AC071F">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Большая часть крупных телекоммуникационных компаний предоставляет своим клиентам широкий спектр продуктов и услуг, что порождает необходимость использования профессионального бухгалтерского суждения для разделения различных сфер бизнеса. Так, выручка обычно разделяется на несколько компонентов на основе справедливой стоимости, относительной справедливой стоимости либо путём определения справедливой стоимости неиспользованных мощностей (остаточный метод). Наилучшей основой для </w:t>
      </w:r>
      <w:r w:rsidR="005C6C0B">
        <w:rPr>
          <w:rFonts w:ascii="Times New Roman" w:hAnsi="Times New Roman" w:cs="Times New Roman"/>
          <w:sz w:val="28"/>
          <w:szCs w:val="28"/>
        </w:rPr>
        <w:t xml:space="preserve">определения справедливой стоимости считаются цены, установившиеся на идентичные или однородные товары или </w:t>
      </w:r>
      <w:proofErr w:type="gramStart"/>
      <w:r w:rsidR="005C6C0B">
        <w:rPr>
          <w:rFonts w:ascii="Times New Roman" w:hAnsi="Times New Roman" w:cs="Times New Roman"/>
          <w:sz w:val="28"/>
          <w:szCs w:val="28"/>
        </w:rPr>
        <w:t>услуги</w:t>
      </w:r>
      <w:proofErr w:type="gramEnd"/>
      <w:r w:rsidR="005C6C0B">
        <w:rPr>
          <w:rFonts w:ascii="Times New Roman" w:hAnsi="Times New Roman" w:cs="Times New Roman"/>
          <w:sz w:val="28"/>
          <w:szCs w:val="28"/>
        </w:rPr>
        <w:t xml:space="preserve"> как самой компанией, так и её конкурентами.</w:t>
      </w:r>
    </w:p>
    <w:p w:rsidR="00F145A0" w:rsidRDefault="00F145A0" w:rsidP="00F145A0">
      <w:pPr>
        <w:pStyle w:val="3"/>
      </w:pPr>
      <w:bookmarkStart w:id="14" w:name="_Toc356280312"/>
      <w:r>
        <w:t>Признание выручки от многокомпонентных сделок</w:t>
      </w:r>
      <w:bookmarkEnd w:id="14"/>
    </w:p>
    <w:p w:rsidR="0068785E" w:rsidRDefault="0068785E" w:rsidP="0068785E">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МСФО,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РСБУ, использует понятие многокомпонентных сделок - МСФО 18, п.13 говорит о том, что один договор на реализацию может подразделяться на  несколько компонентов.</w:t>
      </w:r>
    </w:p>
    <w:p w:rsidR="0068785E" w:rsidRDefault="0068785E" w:rsidP="0068785E">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Вот выдержка из этого документа</w:t>
      </w:r>
      <w:r w:rsidRPr="007A6493">
        <w:rPr>
          <w:rFonts w:ascii="Times New Roman" w:hAnsi="Times New Roman" w:cs="Times New Roman"/>
          <w:sz w:val="28"/>
          <w:szCs w:val="28"/>
        </w:rPr>
        <w:t xml:space="preserve">: </w:t>
      </w:r>
    </w:p>
    <w:p w:rsidR="0068785E" w:rsidRDefault="0068785E" w:rsidP="0068785E">
      <w:pPr>
        <w:spacing w:before="240" w:line="360" w:lineRule="auto"/>
        <w:ind w:firstLine="567"/>
        <w:jc w:val="both"/>
        <w:rPr>
          <w:rFonts w:ascii="Times New Roman" w:hAnsi="Times New Roman" w:cs="Times New Roman"/>
          <w:sz w:val="28"/>
          <w:szCs w:val="28"/>
        </w:rPr>
      </w:pPr>
      <w:r w:rsidRPr="007A6493">
        <w:rPr>
          <w:rFonts w:ascii="Times New Roman" w:hAnsi="Times New Roman" w:cs="Times New Roman"/>
          <w:sz w:val="28"/>
          <w:szCs w:val="28"/>
        </w:rPr>
        <w:tab/>
      </w:r>
      <w:r w:rsidRPr="007A6493">
        <w:rPr>
          <w:rFonts w:ascii="Times New Roman" w:hAnsi="Times New Roman" w:cs="Times New Roman"/>
          <w:sz w:val="28"/>
          <w:szCs w:val="28"/>
        </w:rPr>
        <w:tab/>
        <w:t xml:space="preserve">−  При определенных обстоятельствах, сделка может содержать несколько компонентов, в этом случае критерии признания выручки применяются к отдельно идентифицируемым элементам сделки </w:t>
      </w:r>
    </w:p>
    <w:p w:rsidR="0068785E" w:rsidRDefault="0068785E" w:rsidP="0068785E">
      <w:pPr>
        <w:spacing w:before="240" w:line="360" w:lineRule="auto"/>
        <w:ind w:firstLine="567"/>
        <w:jc w:val="both"/>
        <w:rPr>
          <w:rFonts w:ascii="Times New Roman" w:hAnsi="Times New Roman" w:cs="Times New Roman"/>
          <w:sz w:val="28"/>
          <w:szCs w:val="28"/>
        </w:rPr>
      </w:pPr>
      <w:r w:rsidRPr="007A6493">
        <w:rPr>
          <w:rFonts w:ascii="Times New Roman" w:hAnsi="Times New Roman" w:cs="Times New Roman"/>
          <w:sz w:val="28"/>
          <w:szCs w:val="28"/>
        </w:rPr>
        <w:tab/>
      </w:r>
      <w:r w:rsidRPr="007A6493">
        <w:rPr>
          <w:rFonts w:ascii="Times New Roman" w:hAnsi="Times New Roman" w:cs="Times New Roman"/>
          <w:sz w:val="28"/>
          <w:szCs w:val="28"/>
        </w:rPr>
        <w:tab/>
        <w:t xml:space="preserve">−  Критерии признания могут применяться одновременно к двум или более операциям, когда они связаны таким образом, что их </w:t>
      </w:r>
      <w:proofErr w:type="spellStart"/>
      <w:r w:rsidRPr="007A6493">
        <w:rPr>
          <w:rFonts w:ascii="Times New Roman" w:hAnsi="Times New Roman" w:cs="Times New Roman"/>
          <w:sz w:val="28"/>
          <w:szCs w:val="28"/>
        </w:rPr>
        <w:t>коммерческии</w:t>
      </w:r>
      <w:proofErr w:type="spellEnd"/>
      <w:r w:rsidRPr="007A6493">
        <w:rPr>
          <w:rFonts w:ascii="Times New Roman" w:hAnsi="Times New Roman" w:cs="Times New Roman"/>
          <w:sz w:val="28"/>
          <w:szCs w:val="28"/>
        </w:rPr>
        <w:t xml:space="preserve">̆ эффект не может быть определен без рассмотрения серии операций как единого целого </w:t>
      </w:r>
    </w:p>
    <w:p w:rsidR="0068785E" w:rsidRDefault="0068785E" w:rsidP="0068785E">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Этот момент имеет ключевое значение, так как</w:t>
      </w:r>
      <w:r w:rsidRPr="007A6493">
        <w:rPr>
          <w:rFonts w:ascii="Times New Roman" w:hAnsi="Times New Roman" w:cs="Times New Roman"/>
          <w:sz w:val="28"/>
          <w:szCs w:val="28"/>
        </w:rPr>
        <w:t xml:space="preserve"> критерии признания выручки применяются к каждому компоненту, что влияет на момент признания выручки и на сумму выручки, подлежащую отражению в отношении каждого компонента</w:t>
      </w:r>
      <w:r>
        <w:rPr>
          <w:rFonts w:ascii="Times New Roman" w:hAnsi="Times New Roman" w:cs="Times New Roman"/>
          <w:sz w:val="28"/>
          <w:szCs w:val="28"/>
        </w:rPr>
        <w:t>.</w:t>
      </w:r>
      <w:r w:rsidRPr="007A6493">
        <w:rPr>
          <w:rFonts w:ascii="Times New Roman" w:hAnsi="Times New Roman" w:cs="Times New Roman"/>
          <w:sz w:val="28"/>
          <w:szCs w:val="28"/>
        </w:rPr>
        <w:t xml:space="preserve"> Компоненты определяются исходя из ценности с точки зрения покупателя</w:t>
      </w:r>
      <w:r>
        <w:rPr>
          <w:rFonts w:ascii="Times New Roman" w:hAnsi="Times New Roman" w:cs="Times New Roman"/>
          <w:sz w:val="28"/>
          <w:szCs w:val="28"/>
        </w:rPr>
        <w:t>, то есть</w:t>
      </w:r>
      <w:r w:rsidRPr="007A6493">
        <w:rPr>
          <w:rFonts w:ascii="Times New Roman" w:hAnsi="Times New Roman" w:cs="Times New Roman"/>
          <w:sz w:val="28"/>
          <w:szCs w:val="28"/>
        </w:rPr>
        <w:t xml:space="preserve"> </w:t>
      </w:r>
      <w:r>
        <w:rPr>
          <w:rFonts w:ascii="Times New Roman" w:hAnsi="Times New Roman" w:cs="Times New Roman"/>
          <w:sz w:val="28"/>
          <w:szCs w:val="28"/>
        </w:rPr>
        <w:t>п</w:t>
      </w:r>
      <w:r w:rsidRPr="007A6493">
        <w:rPr>
          <w:rFonts w:ascii="Times New Roman" w:hAnsi="Times New Roman" w:cs="Times New Roman"/>
          <w:sz w:val="28"/>
          <w:szCs w:val="28"/>
        </w:rPr>
        <w:t xml:space="preserve">ри определении компонентов </w:t>
      </w:r>
      <w:r>
        <w:rPr>
          <w:rFonts w:ascii="Times New Roman" w:hAnsi="Times New Roman" w:cs="Times New Roman"/>
          <w:sz w:val="28"/>
          <w:szCs w:val="28"/>
        </w:rPr>
        <w:t xml:space="preserve">широко </w:t>
      </w:r>
      <w:r w:rsidRPr="007A6493">
        <w:rPr>
          <w:rFonts w:ascii="Times New Roman" w:hAnsi="Times New Roman" w:cs="Times New Roman"/>
          <w:sz w:val="28"/>
          <w:szCs w:val="28"/>
        </w:rPr>
        <w:t>прим</w:t>
      </w:r>
      <w:r>
        <w:rPr>
          <w:rFonts w:ascii="Times New Roman" w:hAnsi="Times New Roman" w:cs="Times New Roman"/>
          <w:sz w:val="28"/>
          <w:szCs w:val="28"/>
        </w:rPr>
        <w:t>еняется суждение.</w:t>
      </w:r>
    </w:p>
    <w:p w:rsidR="0068785E" w:rsidRPr="0068785E" w:rsidRDefault="0068785E" w:rsidP="0068785E">
      <w:pPr>
        <w:spacing w:before="240" w:line="360" w:lineRule="auto"/>
        <w:ind w:firstLine="567"/>
        <w:jc w:val="both"/>
        <w:rPr>
          <w:rFonts w:ascii="Times New Roman" w:hAnsi="Times New Roman" w:cs="Times New Roman"/>
          <w:sz w:val="28"/>
          <w:szCs w:val="28"/>
        </w:rPr>
      </w:pPr>
      <w:r w:rsidRPr="0068785E">
        <w:rPr>
          <w:rFonts w:ascii="Times New Roman" w:hAnsi="Times New Roman" w:cs="Times New Roman"/>
          <w:sz w:val="28"/>
          <w:szCs w:val="28"/>
        </w:rPr>
        <w:t xml:space="preserve">Момент </w:t>
      </w:r>
      <w:r>
        <w:rPr>
          <w:rFonts w:ascii="Times New Roman" w:hAnsi="Times New Roman" w:cs="Times New Roman"/>
          <w:sz w:val="28"/>
          <w:szCs w:val="28"/>
        </w:rPr>
        <w:t>признания отдельных компонентов зависит от того,</w:t>
      </w:r>
      <w:r w:rsidRPr="0068785E">
        <w:rPr>
          <w:rFonts w:ascii="Times New Roman" w:hAnsi="Times New Roman" w:cs="Times New Roman"/>
          <w:sz w:val="28"/>
          <w:szCs w:val="28"/>
        </w:rPr>
        <w:t xml:space="preserve"> </w:t>
      </w:r>
      <w:r>
        <w:rPr>
          <w:rFonts w:ascii="Times New Roman" w:hAnsi="Times New Roman" w:cs="Times New Roman"/>
          <w:sz w:val="28"/>
          <w:szCs w:val="28"/>
        </w:rPr>
        <w:t>р</w:t>
      </w:r>
      <w:r w:rsidRPr="007A6493">
        <w:rPr>
          <w:rFonts w:ascii="Times New Roman" w:hAnsi="Times New Roman" w:cs="Times New Roman"/>
          <w:sz w:val="28"/>
          <w:szCs w:val="28"/>
        </w:rPr>
        <w:t>ассматривается ли многокомпонентная сделка как единая или ее можно ра</w:t>
      </w:r>
      <w:r>
        <w:rPr>
          <w:rFonts w:ascii="Times New Roman" w:hAnsi="Times New Roman" w:cs="Times New Roman"/>
          <w:sz w:val="28"/>
          <w:szCs w:val="28"/>
        </w:rPr>
        <w:t xml:space="preserve">зделить на отдельные компоненты,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7A6493">
        <w:rPr>
          <w:rFonts w:ascii="Times New Roman" w:hAnsi="Times New Roman" w:cs="Times New Roman"/>
          <w:sz w:val="28"/>
          <w:szCs w:val="28"/>
        </w:rPr>
        <w:t>ероятность</w:t>
      </w:r>
      <w:proofErr w:type="gramEnd"/>
      <w:r w:rsidRPr="007A6493">
        <w:rPr>
          <w:rFonts w:ascii="Times New Roman" w:hAnsi="Times New Roman" w:cs="Times New Roman"/>
          <w:sz w:val="28"/>
          <w:szCs w:val="28"/>
        </w:rPr>
        <w:t xml:space="preserve"> использования покупателем компонентов</w:t>
      </w:r>
      <w:r>
        <w:rPr>
          <w:rFonts w:ascii="Times New Roman" w:hAnsi="Times New Roman" w:cs="Times New Roman"/>
          <w:sz w:val="28"/>
          <w:szCs w:val="28"/>
        </w:rPr>
        <w:t xml:space="preserve"> сделки как различных продуктов, а также от анализа п</w:t>
      </w:r>
      <w:r w:rsidRPr="007A6493">
        <w:rPr>
          <w:rFonts w:ascii="Times New Roman" w:hAnsi="Times New Roman" w:cs="Times New Roman"/>
          <w:sz w:val="28"/>
          <w:szCs w:val="28"/>
        </w:rPr>
        <w:t>ереход</w:t>
      </w:r>
      <w:r>
        <w:rPr>
          <w:rFonts w:ascii="Times New Roman" w:hAnsi="Times New Roman" w:cs="Times New Roman"/>
          <w:sz w:val="28"/>
          <w:szCs w:val="28"/>
        </w:rPr>
        <w:t>а</w:t>
      </w:r>
      <w:r w:rsidRPr="007A6493">
        <w:rPr>
          <w:rFonts w:ascii="Times New Roman" w:hAnsi="Times New Roman" w:cs="Times New Roman"/>
          <w:sz w:val="28"/>
          <w:szCs w:val="28"/>
        </w:rPr>
        <w:t xml:space="preserve"> рисков и выгод по каждому компоненту</w:t>
      </w:r>
      <w:r>
        <w:rPr>
          <w:rFonts w:ascii="Times New Roman" w:hAnsi="Times New Roman" w:cs="Times New Roman"/>
          <w:sz w:val="28"/>
          <w:szCs w:val="28"/>
        </w:rPr>
        <w:t>.</w:t>
      </w:r>
      <w:r w:rsidRPr="007A6493">
        <w:rPr>
          <w:rFonts w:ascii="Times New Roman" w:hAnsi="Times New Roman" w:cs="Times New Roman"/>
          <w:sz w:val="28"/>
          <w:szCs w:val="28"/>
        </w:rPr>
        <w:t xml:space="preserve"> </w:t>
      </w:r>
    </w:p>
    <w:p w:rsidR="0068785E" w:rsidRDefault="00F145A0" w:rsidP="00663E8B">
      <w:pPr>
        <w:spacing w:before="24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sidR="006375DD">
        <w:rPr>
          <w:rFonts w:ascii="Times New Roman" w:hAnsi="Times New Roman" w:cs="Times New Roman"/>
          <w:sz w:val="28"/>
          <w:szCs w:val="28"/>
        </w:rPr>
        <w:t xml:space="preserve"> случае продажи </w:t>
      </w:r>
      <w:r w:rsidR="00DC1705">
        <w:rPr>
          <w:rFonts w:ascii="Times New Roman" w:hAnsi="Times New Roman" w:cs="Times New Roman"/>
          <w:sz w:val="28"/>
          <w:szCs w:val="28"/>
        </w:rPr>
        <w:t>многокомпонентных сделок</w:t>
      </w:r>
      <w:r w:rsidR="006375DD">
        <w:rPr>
          <w:rFonts w:ascii="Times New Roman" w:hAnsi="Times New Roman" w:cs="Times New Roman"/>
          <w:sz w:val="28"/>
          <w:szCs w:val="28"/>
        </w:rPr>
        <w:t xml:space="preserve"> (</w:t>
      </w:r>
      <w:r w:rsidR="00DC1705" w:rsidRPr="00DC1705">
        <w:rPr>
          <w:rFonts w:ascii="Times New Roman" w:hAnsi="Times New Roman" w:cs="Times New Roman"/>
          <w:sz w:val="28"/>
          <w:szCs w:val="28"/>
        </w:rPr>
        <w:t>предоставлени</w:t>
      </w:r>
      <w:r w:rsidR="00DC1705">
        <w:rPr>
          <w:rFonts w:ascii="Times New Roman" w:hAnsi="Times New Roman" w:cs="Times New Roman"/>
          <w:sz w:val="28"/>
          <w:szCs w:val="28"/>
        </w:rPr>
        <w:t>я</w:t>
      </w:r>
      <w:r w:rsidR="00663E8B">
        <w:rPr>
          <w:rFonts w:ascii="Times New Roman" w:hAnsi="Times New Roman" w:cs="Times New Roman"/>
          <w:sz w:val="28"/>
          <w:szCs w:val="28"/>
        </w:rPr>
        <w:t xml:space="preserve"> </w:t>
      </w:r>
      <w:r w:rsidR="00DC1705" w:rsidRPr="00DC1705">
        <w:rPr>
          <w:rFonts w:ascii="Times New Roman" w:hAnsi="Times New Roman" w:cs="Times New Roman"/>
          <w:sz w:val="28"/>
          <w:szCs w:val="28"/>
        </w:rPr>
        <w:t>нескольких услуг клиентам в одном пакете, например, услуг фиксированной и мобильной связи, предоставлени</w:t>
      </w:r>
      <w:r w:rsidR="00663E8B">
        <w:rPr>
          <w:rFonts w:ascii="Times New Roman" w:hAnsi="Times New Roman" w:cs="Times New Roman"/>
          <w:sz w:val="28"/>
          <w:szCs w:val="28"/>
        </w:rPr>
        <w:t>я</w:t>
      </w:r>
      <w:r w:rsidR="00DC1705" w:rsidRPr="00DC1705">
        <w:rPr>
          <w:rFonts w:ascii="Times New Roman" w:hAnsi="Times New Roman" w:cs="Times New Roman"/>
          <w:sz w:val="28"/>
          <w:szCs w:val="28"/>
        </w:rPr>
        <w:t xml:space="preserve"> бесплатного набора услуг при подключении, продаж</w:t>
      </w:r>
      <w:r w:rsidR="00663E8B">
        <w:rPr>
          <w:rFonts w:ascii="Times New Roman" w:hAnsi="Times New Roman" w:cs="Times New Roman"/>
          <w:sz w:val="28"/>
          <w:szCs w:val="28"/>
        </w:rPr>
        <w:t>е</w:t>
      </w:r>
      <w:r w:rsidR="00DC1705" w:rsidRPr="00DC1705">
        <w:rPr>
          <w:rFonts w:ascii="Times New Roman" w:hAnsi="Times New Roman" w:cs="Times New Roman"/>
          <w:sz w:val="28"/>
          <w:szCs w:val="28"/>
        </w:rPr>
        <w:t xml:space="preserve"> товара с услугой по установке, оказани</w:t>
      </w:r>
      <w:r w:rsidR="00663E8B">
        <w:rPr>
          <w:rFonts w:ascii="Times New Roman" w:hAnsi="Times New Roman" w:cs="Times New Roman"/>
          <w:sz w:val="28"/>
          <w:szCs w:val="28"/>
        </w:rPr>
        <w:t xml:space="preserve">я </w:t>
      </w:r>
      <w:r w:rsidR="00DC1705" w:rsidRPr="00DC1705">
        <w:rPr>
          <w:rFonts w:ascii="Times New Roman" w:hAnsi="Times New Roman" w:cs="Times New Roman"/>
          <w:sz w:val="28"/>
          <w:szCs w:val="28"/>
        </w:rPr>
        <w:t>телекоммуникационных услуг и услуги по подключению и много</w:t>
      </w:r>
      <w:r w:rsidR="0068785E">
        <w:rPr>
          <w:rFonts w:ascii="Times New Roman" w:hAnsi="Times New Roman" w:cs="Times New Roman"/>
          <w:sz w:val="28"/>
          <w:szCs w:val="28"/>
        </w:rPr>
        <w:t>е</w:t>
      </w:r>
      <w:r w:rsidR="00DC1705" w:rsidRPr="00DC1705">
        <w:rPr>
          <w:rFonts w:ascii="Times New Roman" w:hAnsi="Times New Roman" w:cs="Times New Roman"/>
          <w:sz w:val="28"/>
          <w:szCs w:val="28"/>
        </w:rPr>
        <w:t xml:space="preserve"> другое</w:t>
      </w:r>
      <w:r w:rsidR="006375DD">
        <w:rPr>
          <w:rFonts w:ascii="Times New Roman" w:hAnsi="Times New Roman" w:cs="Times New Roman"/>
          <w:sz w:val="28"/>
          <w:szCs w:val="28"/>
        </w:rPr>
        <w:t xml:space="preserve">), </w:t>
      </w:r>
      <w:r w:rsidR="006375DD">
        <w:rPr>
          <w:rFonts w:ascii="Times New Roman" w:hAnsi="Times New Roman" w:cs="Times New Roman"/>
          <w:sz w:val="28"/>
          <w:szCs w:val="28"/>
        </w:rPr>
        <w:lastRenderedPageBreak/>
        <w:t>компании приходится самой искать решения о правильном бухгалтерском учёте выручки таких операций, так как он не зарегулирован стандартом.</w:t>
      </w:r>
      <w:proofErr w:type="gramEnd"/>
      <w:r w:rsidR="006375DD">
        <w:rPr>
          <w:rFonts w:ascii="Times New Roman" w:hAnsi="Times New Roman" w:cs="Times New Roman"/>
          <w:sz w:val="28"/>
          <w:szCs w:val="28"/>
        </w:rPr>
        <w:t xml:space="preserve"> Стоит отметить, что продажа таких продуктов для гигантов телекоммуникационной отрасли, а именно операторов сотовой связи, является одним из столпов бизнеса. </w:t>
      </w:r>
    </w:p>
    <w:p w:rsidR="0068785E" w:rsidRDefault="006375DD" w:rsidP="00663E8B">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Чтобы правильно признать выручку от такого продукта, </w:t>
      </w:r>
      <w:r w:rsidR="00663E8B">
        <w:rPr>
          <w:rFonts w:ascii="Times New Roman" w:hAnsi="Times New Roman" w:cs="Times New Roman"/>
          <w:sz w:val="28"/>
          <w:szCs w:val="28"/>
        </w:rPr>
        <w:t xml:space="preserve">по стандартам </w:t>
      </w:r>
      <w:r w:rsidR="0068785E">
        <w:rPr>
          <w:rFonts w:ascii="Times New Roman" w:hAnsi="Times New Roman" w:cs="Times New Roman"/>
          <w:sz w:val="28"/>
          <w:szCs w:val="28"/>
        </w:rPr>
        <w:t>МСФО</w:t>
      </w:r>
      <w:r w:rsidR="00663E8B" w:rsidRPr="00663E8B">
        <w:rPr>
          <w:rFonts w:ascii="Times New Roman" w:hAnsi="Times New Roman" w:cs="Times New Roman"/>
          <w:sz w:val="28"/>
          <w:szCs w:val="28"/>
        </w:rPr>
        <w:t xml:space="preserve"> </w:t>
      </w:r>
      <w:r>
        <w:rPr>
          <w:rFonts w:ascii="Times New Roman" w:hAnsi="Times New Roman" w:cs="Times New Roman"/>
          <w:sz w:val="28"/>
          <w:szCs w:val="28"/>
        </w:rPr>
        <w:t>бухгалтеру необходимо разделить её на выручку от каждого компонента пакета и вынести решение по каждому из них, учитывать ли выручку отдельно или объединить в целях учёта. Время признания выручки по компонентам тоже может серьёзно отличаться, так как, к примеру, предоплаченные минуты разговора или смс по правилам МСФО могут быть</w:t>
      </w:r>
      <w:r w:rsidR="00A75DEE">
        <w:rPr>
          <w:rFonts w:ascii="Times New Roman" w:hAnsi="Times New Roman" w:cs="Times New Roman"/>
          <w:sz w:val="28"/>
          <w:szCs w:val="28"/>
        </w:rPr>
        <w:t xml:space="preserve"> признаны только после непосредственного оказания соответствующих услуг, тогда как выручка от продажи телефона должна быть признана незамедлительно. </w:t>
      </w:r>
    </w:p>
    <w:p w:rsidR="0048044A" w:rsidRDefault="0048044A" w:rsidP="00663E8B">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Соответственно, в каждом случае необходимо тщательно рассматривать конкретные обстоятельства сделки, что при огромных оборотах весьма затруднительно. Также такое положение дел может привести к тому, что сравнивать отчётности разных компаний станет достаточно сложно, если при учёте одинаковых операций они пользуются разными предпосылками, что возможно при существующих стандартах.</w:t>
      </w:r>
    </w:p>
    <w:p w:rsidR="00663E8B" w:rsidRPr="00663E8B" w:rsidRDefault="00663E8B" w:rsidP="00663E8B">
      <w:pPr>
        <w:spacing w:before="240"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t xml:space="preserve">Согласно </w:t>
      </w:r>
      <w:r w:rsidR="0068785E">
        <w:rPr>
          <w:rFonts w:ascii="Times New Roman" w:hAnsi="Times New Roman" w:cs="Times New Roman"/>
          <w:sz w:val="28"/>
          <w:szCs w:val="28"/>
        </w:rPr>
        <w:t>МСФО,</w:t>
      </w:r>
      <w:r w:rsidRPr="00663E8B">
        <w:rPr>
          <w:rFonts w:ascii="Times New Roman" w:hAnsi="Times New Roman" w:cs="Times New Roman"/>
          <w:sz w:val="28"/>
          <w:szCs w:val="28"/>
        </w:rPr>
        <w:t xml:space="preserve"> необходим раздельный учет выручки от услуг, предоставляемых покупателю в рамках многокомпонентной сделки, по методу относительной рыночной стоимости каждой единицы, при соблюдении следующих условий:</w:t>
      </w:r>
    </w:p>
    <w:p w:rsidR="00663E8B" w:rsidRPr="00663E8B" w:rsidRDefault="00663E8B" w:rsidP="00663E8B">
      <w:pPr>
        <w:spacing w:before="240"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t>- отгруженный товар/оказанная услуга имеет ценность для покупателя независимо от прочих обстоятельств (в том числе  может быть продан покупателем отдельно от договора);</w:t>
      </w:r>
    </w:p>
    <w:p w:rsidR="00663E8B" w:rsidRPr="00663E8B" w:rsidRDefault="00663E8B" w:rsidP="00663E8B">
      <w:pPr>
        <w:spacing w:before="240"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lastRenderedPageBreak/>
        <w:t>- если договор предусматривает право возврата отгруженного товара/ оказанной услуги, предоставление последующей услуги оценивается как вероятное.</w:t>
      </w:r>
    </w:p>
    <w:p w:rsidR="00663E8B" w:rsidRDefault="00663E8B" w:rsidP="00663E8B">
      <w:pPr>
        <w:spacing w:before="240"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t>В случае невыполнения одного из критериев, выручка от многокомпонентных услуг учитывается не по раздельному учету, а как комбинированное единое вознаграждение (комбинированная единица учета).</w:t>
      </w:r>
    </w:p>
    <w:p w:rsidR="00F145A0" w:rsidRPr="00F145A0" w:rsidRDefault="00F145A0" w:rsidP="00F145A0">
      <w:pPr>
        <w:pStyle w:val="3"/>
      </w:pPr>
      <w:bookmarkStart w:id="15" w:name="_Toc356280313"/>
      <w:r w:rsidRPr="00F145A0">
        <w:t>Влияние системы агентских отношений на признание выручки</w:t>
      </w:r>
      <w:bookmarkEnd w:id="15"/>
    </w:p>
    <w:p w:rsidR="0048044A" w:rsidRDefault="00534EDA" w:rsidP="00534EDA">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телекоммуникационного сектора также исключительно важно определить по отношению к каждому типу </w:t>
      </w:r>
      <w:r w:rsidR="0068785E">
        <w:rPr>
          <w:rFonts w:ascii="Times New Roman" w:hAnsi="Times New Roman" w:cs="Times New Roman"/>
          <w:sz w:val="28"/>
          <w:szCs w:val="28"/>
        </w:rPr>
        <w:t>операций</w:t>
      </w:r>
      <w:r>
        <w:rPr>
          <w:rFonts w:ascii="Times New Roman" w:hAnsi="Times New Roman" w:cs="Times New Roman"/>
          <w:sz w:val="28"/>
          <w:szCs w:val="28"/>
        </w:rPr>
        <w:t xml:space="preserve">, действует ли предприятие как принципал (признавая валовую выручку) или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как агент (в этом случае признаётся чистая выручка). Особенно большое внимание приходится уделять этому вопросу, когда речь заходит о загрузке контента с мобильных телефонов, платных услугах и  международной связи. Стандарты МСФО достаточно детально регулируют подобные вещи, что делает их очень удобными для телекоммуникационной отрасли.</w:t>
      </w:r>
    </w:p>
    <w:p w:rsidR="00534EDA" w:rsidRDefault="00534EDA" w:rsidP="00534EDA">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валовая выручка от таких операций может быть признана только в случае, если компания обладает исключительными правами на контент и продаёт его своим абонентам, беря на себя все риски и выгоды от обладания правами собственности. Если же компания выступает в роли пос</w:t>
      </w:r>
      <w:r w:rsidR="0013289D">
        <w:rPr>
          <w:rFonts w:ascii="Times New Roman" w:hAnsi="Times New Roman" w:cs="Times New Roman"/>
          <w:sz w:val="28"/>
          <w:szCs w:val="28"/>
        </w:rPr>
        <w:t>редника, передавая часть полученных сре</w:t>
      </w:r>
      <w:proofErr w:type="gramStart"/>
      <w:r w:rsidR="0013289D">
        <w:rPr>
          <w:rFonts w:ascii="Times New Roman" w:hAnsi="Times New Roman" w:cs="Times New Roman"/>
          <w:sz w:val="28"/>
          <w:szCs w:val="28"/>
        </w:rPr>
        <w:t>дств вл</w:t>
      </w:r>
      <w:proofErr w:type="gramEnd"/>
      <w:r w:rsidR="0013289D">
        <w:rPr>
          <w:rFonts w:ascii="Times New Roman" w:hAnsi="Times New Roman" w:cs="Times New Roman"/>
          <w:sz w:val="28"/>
          <w:szCs w:val="28"/>
        </w:rPr>
        <w:t xml:space="preserve">адельцу контента, признаётся чистая выручка за вычетом комиссии. Однако в некоторых ситуациях компания сама решает, на какой основе признать выручку от сделки. К примеру, это применяется в ситуации, когда кредитный риск покупателя в отношении дебиторской задолженности лежит непосредственно на компании, а контроль над ценой и наполнением контента берёт на себя владелец контента. </w:t>
      </w:r>
    </w:p>
    <w:p w:rsidR="0013289D" w:rsidRDefault="0013289D" w:rsidP="00534EDA">
      <w:pPr>
        <w:spacing w:before="24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В отношении же признания выручки за осуществление звонков, МСФО тоже столкнулись с вопросами, ответы на которые также ищутся </w:t>
      </w:r>
      <w:r>
        <w:rPr>
          <w:rFonts w:ascii="Times New Roman" w:hAnsi="Times New Roman" w:cs="Times New Roman"/>
          <w:sz w:val="28"/>
          <w:szCs w:val="28"/>
        </w:rPr>
        <w:lastRenderedPageBreak/>
        <w:t xml:space="preserve">непосредственно бухгалтерами в каждом конкретном случае. В первую очередь это касается международных звонков.  Метод признания выручки зависит, к примеру, от того, может ли телекоммуникационная компания сама принимать решения по маршрутизации трафика и есть ли у абонентов жалобы на качество связи. </w:t>
      </w:r>
    </w:p>
    <w:p w:rsidR="00953906" w:rsidRPr="00953906" w:rsidRDefault="0097401D" w:rsidP="00953906">
      <w:pPr>
        <w:pStyle w:val="3"/>
      </w:pPr>
      <w:r>
        <w:t>Особенности учёта основных сре</w:t>
      </w:r>
      <w:proofErr w:type="gramStart"/>
      <w:r>
        <w:t>дств в т</w:t>
      </w:r>
      <w:proofErr w:type="gramEnd"/>
      <w:r>
        <w:t>елекоммуникационных компаниях</w:t>
      </w:r>
    </w:p>
    <w:p w:rsidR="0097401D" w:rsidRDefault="0097401D" w:rsidP="0097401D">
      <w:pPr>
        <w:spacing w:before="240" w:line="360" w:lineRule="auto"/>
        <w:ind w:firstLine="567"/>
        <w:jc w:val="both"/>
        <w:rPr>
          <w:rFonts w:cs="Univers-Bold"/>
          <w:b/>
          <w:bCs/>
          <w:color w:val="882D92"/>
          <w:sz w:val="26"/>
          <w:szCs w:val="26"/>
        </w:rPr>
      </w:pPr>
      <w:r w:rsidRPr="0097401D">
        <w:rPr>
          <w:rFonts w:ascii="Times New Roman" w:hAnsi="Times New Roman" w:cs="Times New Roman"/>
          <w:sz w:val="28"/>
          <w:szCs w:val="28"/>
        </w:rPr>
        <w:t xml:space="preserve">Говоря о бухгалтерском балансе </w:t>
      </w:r>
      <w:proofErr w:type="spellStart"/>
      <w:r w:rsidRPr="0097401D">
        <w:rPr>
          <w:rFonts w:ascii="Times New Roman" w:hAnsi="Times New Roman" w:cs="Times New Roman"/>
          <w:sz w:val="28"/>
          <w:szCs w:val="28"/>
        </w:rPr>
        <w:t>телекоммуниционного</w:t>
      </w:r>
      <w:proofErr w:type="spellEnd"/>
      <w:r w:rsidRPr="0097401D">
        <w:rPr>
          <w:rFonts w:ascii="Times New Roman" w:hAnsi="Times New Roman" w:cs="Times New Roman"/>
          <w:sz w:val="28"/>
          <w:szCs w:val="28"/>
        </w:rPr>
        <w:t xml:space="preserve"> сектора, можно выделить несколько наиважнейших его статей, среди которых особенно выделяется Основные средства (</w:t>
      </w:r>
      <w:proofErr w:type="spellStart"/>
      <w:r w:rsidRPr="0097401D">
        <w:rPr>
          <w:rFonts w:ascii="Times New Roman" w:hAnsi="Times New Roman" w:cs="Times New Roman"/>
          <w:sz w:val="28"/>
          <w:szCs w:val="28"/>
        </w:rPr>
        <w:t>Property</w:t>
      </w:r>
      <w:proofErr w:type="spellEnd"/>
      <w:r w:rsidRPr="0097401D">
        <w:rPr>
          <w:rFonts w:ascii="Times New Roman" w:hAnsi="Times New Roman" w:cs="Times New Roman"/>
          <w:sz w:val="28"/>
          <w:szCs w:val="28"/>
        </w:rPr>
        <w:t xml:space="preserve">, </w:t>
      </w:r>
      <w:proofErr w:type="spellStart"/>
      <w:r w:rsidRPr="0097401D">
        <w:rPr>
          <w:rFonts w:ascii="Times New Roman" w:hAnsi="Times New Roman" w:cs="Times New Roman"/>
          <w:sz w:val="28"/>
          <w:szCs w:val="28"/>
        </w:rPr>
        <w:t>plant</w:t>
      </w:r>
      <w:proofErr w:type="spellEnd"/>
      <w:r w:rsidRPr="0097401D">
        <w:rPr>
          <w:rFonts w:ascii="Times New Roman" w:hAnsi="Times New Roman" w:cs="Times New Roman"/>
          <w:sz w:val="28"/>
          <w:szCs w:val="28"/>
        </w:rPr>
        <w:t xml:space="preserve"> </w:t>
      </w:r>
      <w:proofErr w:type="spellStart"/>
      <w:r w:rsidRPr="0097401D">
        <w:rPr>
          <w:rFonts w:ascii="Times New Roman" w:hAnsi="Times New Roman" w:cs="Times New Roman"/>
          <w:sz w:val="28"/>
          <w:szCs w:val="28"/>
        </w:rPr>
        <w:t>and</w:t>
      </w:r>
      <w:proofErr w:type="spellEnd"/>
      <w:r w:rsidRPr="0097401D">
        <w:rPr>
          <w:rFonts w:ascii="Times New Roman" w:hAnsi="Times New Roman" w:cs="Times New Roman"/>
          <w:sz w:val="28"/>
          <w:szCs w:val="28"/>
        </w:rPr>
        <w:t xml:space="preserve"> </w:t>
      </w:r>
      <w:proofErr w:type="spellStart"/>
      <w:r w:rsidRPr="0097401D">
        <w:rPr>
          <w:rFonts w:ascii="Times New Roman" w:hAnsi="Times New Roman" w:cs="Times New Roman"/>
          <w:sz w:val="28"/>
          <w:szCs w:val="28"/>
        </w:rPr>
        <w:t>equipment</w:t>
      </w:r>
      <w:proofErr w:type="spellEnd"/>
      <w:r w:rsidRPr="0097401D">
        <w:rPr>
          <w:rFonts w:ascii="Times New Roman" w:hAnsi="Times New Roman" w:cs="Times New Roman"/>
          <w:sz w:val="28"/>
          <w:szCs w:val="28"/>
        </w:rPr>
        <w:t>).</w:t>
      </w:r>
      <w:r>
        <w:rPr>
          <w:rFonts w:cs="Univers-Bold"/>
          <w:b/>
          <w:bCs/>
          <w:color w:val="882D92"/>
          <w:sz w:val="26"/>
          <w:szCs w:val="26"/>
        </w:rPr>
        <w:t xml:space="preserve"> </w:t>
      </w:r>
    </w:p>
    <w:p w:rsidR="0097401D" w:rsidRPr="0097401D" w:rsidRDefault="0097401D" w:rsidP="0097401D">
      <w:pPr>
        <w:spacing w:before="240"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В соответствии с МСФО, под основными средствами понимаются виды материальных активов, которые используются компанией для производства товаров или предоставления услуг. Такие активы приобретаются с целью использования в течение нескольких отчетных периодов и не предназначены для продажи в обычных условиях ведения деятельности.</w:t>
      </w:r>
    </w:p>
    <w:p w:rsidR="0097401D" w:rsidRPr="0097401D" w:rsidRDefault="0097401D" w:rsidP="0097401D">
      <w:pPr>
        <w:spacing w:before="240"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 xml:space="preserve">Критериями отнесения активов к основным средствам являются следующие: </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Активы приобретены с целью использования в операционном цикле компании;</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 xml:space="preserve">Компанией не предполагается их дальнейшая перепродажа; </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 xml:space="preserve">Активы имеют материальную форму и по своему характеру подлежат эксплуатации и износу в долгосрочном периоде; </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Вероятно, что активы будут приносить экономические выгоды (доходы) в будущем;</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Себестоимость актива возможно достоверно оценить.</w:t>
      </w:r>
    </w:p>
    <w:p w:rsidR="0097401D" w:rsidRPr="0097401D" w:rsidRDefault="0097401D" w:rsidP="0097401D">
      <w:pPr>
        <w:spacing w:before="240" w:line="36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Выделяются </w:t>
      </w:r>
      <w:r w:rsidRPr="0097401D">
        <w:rPr>
          <w:rFonts w:ascii="Times New Roman" w:hAnsi="Times New Roman" w:cs="Times New Roman"/>
          <w:sz w:val="28"/>
          <w:szCs w:val="28"/>
        </w:rPr>
        <w:t xml:space="preserve"> следующие виды основных средств:</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Земельные участки;</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7401D">
        <w:rPr>
          <w:rFonts w:ascii="Times New Roman" w:hAnsi="Times New Roman" w:cs="Times New Roman"/>
          <w:sz w:val="28"/>
          <w:szCs w:val="28"/>
        </w:rPr>
        <w:t>Здания и сооружения;</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Оборудование, полученное в лизинг;</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Телекоммуникационное оборудование, включая ЗИП активы (</w:t>
      </w:r>
      <w:r>
        <w:rPr>
          <w:rFonts w:ascii="Times New Roman" w:hAnsi="Times New Roman" w:cs="Times New Roman"/>
          <w:sz w:val="28"/>
          <w:szCs w:val="28"/>
        </w:rPr>
        <w:t xml:space="preserve">которые </w:t>
      </w:r>
      <w:r w:rsidRPr="0097401D">
        <w:rPr>
          <w:rFonts w:ascii="Times New Roman" w:hAnsi="Times New Roman" w:cs="Times New Roman"/>
          <w:sz w:val="28"/>
          <w:szCs w:val="28"/>
        </w:rPr>
        <w:t>обеспечивают непрерывный процесс производства, устойчивость к аварийным ситуациям);</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Офисное и измерительное оборудование;</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Автомобили и транспортные средства;</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Мебель;</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Незавершенное строительство;</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7401D">
        <w:rPr>
          <w:rFonts w:ascii="Times New Roman" w:hAnsi="Times New Roman" w:cs="Times New Roman"/>
          <w:sz w:val="28"/>
          <w:szCs w:val="28"/>
        </w:rPr>
        <w:t>Прочее оборудование.</w:t>
      </w:r>
    </w:p>
    <w:p w:rsidR="0097401D" w:rsidRPr="0097401D" w:rsidRDefault="0097401D" w:rsidP="0097401D">
      <w:pPr>
        <w:spacing w:before="240" w:line="360" w:lineRule="auto"/>
        <w:ind w:firstLine="567"/>
        <w:jc w:val="both"/>
        <w:rPr>
          <w:rFonts w:ascii="Times New Roman" w:hAnsi="Times New Roman" w:cs="Times New Roman"/>
          <w:sz w:val="28"/>
          <w:szCs w:val="28"/>
        </w:rPr>
      </w:pPr>
    </w:p>
    <w:p w:rsidR="0097401D" w:rsidRPr="0097401D" w:rsidRDefault="0097401D" w:rsidP="0097401D">
      <w:pPr>
        <w:spacing w:before="240"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При переходе на МСФО телекоммуникационные компании сталкиваются с целым рядом вопросов по пересмотру учётной политики в отношении основных средств, среди которых пор</w:t>
      </w:r>
      <w:r>
        <w:rPr>
          <w:rFonts w:ascii="Times New Roman" w:hAnsi="Times New Roman" w:cs="Times New Roman"/>
          <w:sz w:val="28"/>
          <w:szCs w:val="28"/>
        </w:rPr>
        <w:t>я</w:t>
      </w:r>
      <w:r w:rsidRPr="0097401D">
        <w:rPr>
          <w:rFonts w:ascii="Times New Roman" w:hAnsi="Times New Roman" w:cs="Times New Roman"/>
          <w:sz w:val="28"/>
          <w:szCs w:val="28"/>
        </w:rPr>
        <w:t xml:space="preserve">док </w:t>
      </w:r>
      <w:r>
        <w:rPr>
          <w:rFonts w:ascii="Times New Roman" w:hAnsi="Times New Roman" w:cs="Times New Roman"/>
          <w:sz w:val="28"/>
          <w:szCs w:val="28"/>
        </w:rPr>
        <w:t xml:space="preserve">постановки </w:t>
      </w:r>
      <w:r w:rsidRPr="0097401D">
        <w:rPr>
          <w:rFonts w:ascii="Times New Roman" w:hAnsi="Times New Roman" w:cs="Times New Roman"/>
          <w:sz w:val="28"/>
          <w:szCs w:val="28"/>
        </w:rPr>
        <w:t>основных средств</w:t>
      </w:r>
      <w:r>
        <w:rPr>
          <w:rFonts w:ascii="Times New Roman" w:hAnsi="Times New Roman" w:cs="Times New Roman"/>
          <w:sz w:val="28"/>
          <w:szCs w:val="28"/>
        </w:rPr>
        <w:t xml:space="preserve"> на учёт </w:t>
      </w:r>
      <w:r w:rsidRPr="0097401D">
        <w:rPr>
          <w:rFonts w:ascii="Times New Roman" w:hAnsi="Times New Roman" w:cs="Times New Roman"/>
          <w:sz w:val="28"/>
          <w:szCs w:val="28"/>
        </w:rPr>
        <w:t>и, конечно же, правила амортизации.</w:t>
      </w:r>
    </w:p>
    <w:p w:rsidR="0097401D" w:rsidRDefault="0097401D" w:rsidP="0097401D">
      <w:pPr>
        <w:pStyle w:val="3"/>
      </w:pPr>
      <w:r>
        <w:t>Постановка основных средств на учёт</w:t>
      </w:r>
    </w:p>
    <w:p w:rsidR="0097401D" w:rsidRPr="0097401D" w:rsidRDefault="0097401D" w:rsidP="0097401D">
      <w:pPr>
        <w:spacing w:before="240"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 xml:space="preserve">Все основные средства </w:t>
      </w:r>
      <w:r>
        <w:rPr>
          <w:rFonts w:ascii="Times New Roman" w:hAnsi="Times New Roman" w:cs="Times New Roman"/>
          <w:sz w:val="28"/>
          <w:szCs w:val="28"/>
        </w:rPr>
        <w:t xml:space="preserve">по МСФО </w:t>
      </w:r>
      <w:r w:rsidRPr="0097401D">
        <w:rPr>
          <w:rFonts w:ascii="Times New Roman" w:hAnsi="Times New Roman" w:cs="Times New Roman"/>
          <w:sz w:val="28"/>
          <w:szCs w:val="28"/>
        </w:rPr>
        <w:t xml:space="preserve">учитываются в составе строки незавершенного строительства до начала их фактической эксплуатации. </w:t>
      </w:r>
    </w:p>
    <w:p w:rsidR="0097401D" w:rsidRDefault="0097401D" w:rsidP="0097401D">
      <w:pPr>
        <w:spacing w:before="240"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Постановка на учет объектов основных средств осуществляется в момент, когда право собственности или сопутствующие риски по имуществу в соот</w:t>
      </w:r>
      <w:r>
        <w:rPr>
          <w:rFonts w:ascii="Times New Roman" w:hAnsi="Times New Roman" w:cs="Times New Roman"/>
          <w:sz w:val="28"/>
          <w:szCs w:val="28"/>
        </w:rPr>
        <w:t>ветствии с контрактом были перед</w:t>
      </w:r>
      <w:r w:rsidRPr="0097401D">
        <w:rPr>
          <w:rFonts w:ascii="Times New Roman" w:hAnsi="Times New Roman" w:cs="Times New Roman"/>
          <w:sz w:val="28"/>
          <w:szCs w:val="28"/>
        </w:rPr>
        <w:t xml:space="preserve">аны компании. </w:t>
      </w:r>
      <w:r>
        <w:rPr>
          <w:rFonts w:ascii="Times New Roman" w:hAnsi="Times New Roman" w:cs="Times New Roman"/>
          <w:sz w:val="28"/>
          <w:szCs w:val="28"/>
        </w:rPr>
        <w:t>Основные средства первоначально признаются по своей стоимости, включающей в себя цену, по которой был приобретён актив, и понесённые расходы.</w:t>
      </w:r>
    </w:p>
    <w:p w:rsidR="0097401D" w:rsidRDefault="0097401D" w:rsidP="0097401D">
      <w:pPr>
        <w:spacing w:before="240" w:line="360" w:lineRule="auto"/>
        <w:ind w:firstLine="567"/>
        <w:jc w:val="both"/>
      </w:pPr>
      <w:r w:rsidRPr="0097401D">
        <w:rPr>
          <w:rFonts w:ascii="Times New Roman" w:hAnsi="Times New Roman" w:cs="Times New Roman"/>
          <w:sz w:val="28"/>
          <w:szCs w:val="28"/>
        </w:rPr>
        <w:t xml:space="preserve">По МСФО, </w:t>
      </w:r>
      <w:r>
        <w:rPr>
          <w:rFonts w:ascii="Times New Roman" w:hAnsi="Times New Roman" w:cs="Times New Roman"/>
          <w:sz w:val="28"/>
          <w:szCs w:val="28"/>
        </w:rPr>
        <w:t>в</w:t>
      </w:r>
      <w:r w:rsidRPr="0097401D">
        <w:rPr>
          <w:rFonts w:ascii="Times New Roman" w:hAnsi="Times New Roman" w:cs="Times New Roman"/>
          <w:sz w:val="28"/>
          <w:szCs w:val="28"/>
        </w:rPr>
        <w:t>се расходы, непосредственно с</w:t>
      </w:r>
      <w:r>
        <w:rPr>
          <w:rFonts w:ascii="Times New Roman" w:hAnsi="Times New Roman" w:cs="Times New Roman"/>
          <w:sz w:val="28"/>
          <w:szCs w:val="28"/>
        </w:rPr>
        <w:t xml:space="preserve">вязанные с приведением актива в состояние, </w:t>
      </w:r>
      <w:r w:rsidRPr="0097401D">
        <w:rPr>
          <w:rFonts w:ascii="Times New Roman" w:hAnsi="Times New Roman" w:cs="Times New Roman"/>
          <w:sz w:val="28"/>
          <w:szCs w:val="28"/>
        </w:rPr>
        <w:t>необходим</w:t>
      </w:r>
      <w:r>
        <w:rPr>
          <w:rFonts w:ascii="Times New Roman" w:hAnsi="Times New Roman" w:cs="Times New Roman"/>
          <w:sz w:val="28"/>
          <w:szCs w:val="28"/>
        </w:rPr>
        <w:t xml:space="preserve">ое </w:t>
      </w:r>
      <w:r w:rsidRPr="0097401D">
        <w:rPr>
          <w:rFonts w:ascii="Times New Roman" w:hAnsi="Times New Roman" w:cs="Times New Roman"/>
          <w:sz w:val="28"/>
          <w:szCs w:val="28"/>
        </w:rPr>
        <w:t xml:space="preserve">для предполагаемого использования, </w:t>
      </w:r>
      <w:r>
        <w:rPr>
          <w:rFonts w:ascii="Times New Roman" w:hAnsi="Times New Roman" w:cs="Times New Roman"/>
          <w:sz w:val="28"/>
          <w:szCs w:val="28"/>
        </w:rPr>
        <w:t>могут быть капитализированы</w:t>
      </w:r>
      <w:r w:rsidRPr="0097401D">
        <w:rPr>
          <w:rFonts w:ascii="Times New Roman" w:hAnsi="Times New Roman" w:cs="Times New Roman"/>
          <w:sz w:val="28"/>
          <w:szCs w:val="28"/>
        </w:rPr>
        <w:t xml:space="preserve">. </w:t>
      </w:r>
      <w:r>
        <w:rPr>
          <w:rFonts w:ascii="Times New Roman" w:hAnsi="Times New Roman" w:cs="Times New Roman"/>
          <w:sz w:val="28"/>
          <w:szCs w:val="28"/>
        </w:rPr>
        <w:t>Общие административные же з</w:t>
      </w:r>
      <w:r w:rsidRPr="0097401D">
        <w:rPr>
          <w:rFonts w:ascii="Times New Roman" w:hAnsi="Times New Roman" w:cs="Times New Roman"/>
          <w:sz w:val="28"/>
          <w:szCs w:val="28"/>
        </w:rPr>
        <w:t>атраты</w:t>
      </w:r>
      <w:r>
        <w:rPr>
          <w:rFonts w:ascii="Times New Roman" w:hAnsi="Times New Roman" w:cs="Times New Roman"/>
          <w:sz w:val="28"/>
          <w:szCs w:val="28"/>
        </w:rPr>
        <w:t xml:space="preserve">, связанные с </w:t>
      </w:r>
      <w:r>
        <w:rPr>
          <w:rFonts w:ascii="Times New Roman" w:hAnsi="Times New Roman" w:cs="Times New Roman"/>
          <w:sz w:val="28"/>
          <w:szCs w:val="28"/>
        </w:rPr>
        <w:lastRenderedPageBreak/>
        <w:t>началом использования по назначению актива лишь косвенно</w:t>
      </w:r>
      <w:r w:rsidRPr="0097401D">
        <w:rPr>
          <w:rFonts w:ascii="Times New Roman" w:hAnsi="Times New Roman" w:cs="Times New Roman"/>
          <w:sz w:val="28"/>
          <w:szCs w:val="28"/>
        </w:rPr>
        <w:t xml:space="preserve">, </w:t>
      </w:r>
      <w:r>
        <w:rPr>
          <w:rFonts w:ascii="Times New Roman" w:hAnsi="Times New Roman" w:cs="Times New Roman"/>
          <w:sz w:val="28"/>
          <w:szCs w:val="28"/>
        </w:rPr>
        <w:t>например,</w:t>
      </w:r>
      <w:r w:rsidRPr="0097401D">
        <w:rPr>
          <w:rFonts w:ascii="Times New Roman" w:hAnsi="Times New Roman" w:cs="Times New Roman"/>
          <w:sz w:val="28"/>
          <w:szCs w:val="28"/>
        </w:rPr>
        <w:t xml:space="preserve"> затраты на обучение</w:t>
      </w:r>
      <w:r>
        <w:rPr>
          <w:rFonts w:ascii="Times New Roman" w:hAnsi="Times New Roman" w:cs="Times New Roman"/>
          <w:sz w:val="28"/>
          <w:szCs w:val="28"/>
        </w:rPr>
        <w:t xml:space="preserve"> обслуживающего персонала для данного оборудования, </w:t>
      </w:r>
      <w:r w:rsidRPr="0097401D">
        <w:rPr>
          <w:rFonts w:ascii="Times New Roman" w:hAnsi="Times New Roman" w:cs="Times New Roman"/>
          <w:sz w:val="28"/>
          <w:szCs w:val="28"/>
        </w:rPr>
        <w:t>не могут быть капитализированы в соответствии с МСФО.</w:t>
      </w:r>
      <w:r>
        <w:t xml:space="preserve"> </w:t>
      </w:r>
    </w:p>
    <w:p w:rsidR="0097401D" w:rsidRPr="0097401D" w:rsidRDefault="0097401D" w:rsidP="0097401D">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к</w:t>
      </w:r>
      <w:r w:rsidRPr="0097401D">
        <w:rPr>
          <w:rFonts w:ascii="Times New Roman" w:hAnsi="Times New Roman" w:cs="Times New Roman"/>
          <w:sz w:val="28"/>
          <w:szCs w:val="28"/>
        </w:rPr>
        <w:t xml:space="preserve"> незавершенному строительству относятся все затраты, связанные с приобретением, сооружением, изготовлением основных средств, их доставкой и доведением до состояния, в котором они пригодны для использования до момента введения его в эксплуатацию, в том числе:</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покупная цена;</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 xml:space="preserve">регистрационные сборы, импортные пошлины и невозмещаемые </w:t>
      </w:r>
      <w:proofErr w:type="gramStart"/>
      <w:r w:rsidRPr="0097401D">
        <w:rPr>
          <w:rFonts w:ascii="Times New Roman" w:hAnsi="Times New Roman" w:cs="Times New Roman"/>
          <w:sz w:val="28"/>
          <w:szCs w:val="28"/>
        </w:rPr>
        <w:t>налоги</w:t>
      </w:r>
      <w:proofErr w:type="gramEnd"/>
      <w:r w:rsidRPr="0097401D">
        <w:rPr>
          <w:rFonts w:ascii="Times New Roman" w:hAnsi="Times New Roman" w:cs="Times New Roman"/>
          <w:sz w:val="28"/>
          <w:szCs w:val="28"/>
        </w:rPr>
        <w:t xml:space="preserve"> и сборы на покупку;</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стоимость профессиональных услуг: информационных, консультационных, юридических, посреднических и т.д.;</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затраты по целевому кредиту, полученному для приобретения актива, включая затраты по процентам (описано в отдельном разделе);</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прямые затраты по приведению актива в рабочее состояние для использования по назначению, в том числе:</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затраты на подготовку площадки;</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 xml:space="preserve">затраты на </w:t>
      </w:r>
      <w:proofErr w:type="spellStart"/>
      <w:r w:rsidRPr="0097401D">
        <w:rPr>
          <w:rFonts w:ascii="Times New Roman" w:hAnsi="Times New Roman" w:cs="Times New Roman"/>
          <w:sz w:val="28"/>
          <w:szCs w:val="28"/>
        </w:rPr>
        <w:t>растаможивание</w:t>
      </w:r>
      <w:proofErr w:type="spellEnd"/>
      <w:r w:rsidRPr="0097401D">
        <w:rPr>
          <w:rFonts w:ascii="Times New Roman" w:hAnsi="Times New Roman" w:cs="Times New Roman"/>
          <w:sz w:val="28"/>
          <w:szCs w:val="28"/>
        </w:rPr>
        <w:t>, доставку и разгрузку;</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затраты на установку;</w:t>
      </w:r>
    </w:p>
    <w:p w:rsidR="0097401D" w:rsidRPr="0097401D" w:rsidRDefault="0097401D" w:rsidP="0097401D">
      <w:pPr>
        <w:pStyle w:val="a3"/>
        <w:numPr>
          <w:ilvl w:val="0"/>
          <w:numId w:val="25"/>
        </w:numPr>
        <w:tabs>
          <w:tab w:val="num" w:pos="1070"/>
        </w:tabs>
        <w:spacing w:before="240" w:line="360" w:lineRule="auto"/>
        <w:ind w:left="567" w:firstLine="426"/>
        <w:jc w:val="both"/>
        <w:rPr>
          <w:rFonts w:ascii="Times New Roman" w:hAnsi="Times New Roman" w:cs="Times New Roman"/>
          <w:sz w:val="28"/>
          <w:szCs w:val="28"/>
        </w:rPr>
      </w:pPr>
      <w:r w:rsidRPr="0097401D">
        <w:rPr>
          <w:rFonts w:ascii="Times New Roman" w:hAnsi="Times New Roman" w:cs="Times New Roman"/>
          <w:sz w:val="28"/>
          <w:szCs w:val="28"/>
        </w:rPr>
        <w:t>накладные затраты, которые прямо связаны с приобретением объектов основных средств.</w:t>
      </w:r>
    </w:p>
    <w:p w:rsidR="0097401D" w:rsidRDefault="0097401D" w:rsidP="0097401D">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Эти принципы неизменны для всех телекоммуникационных компаний, ведущих учёт по МСФО, в отличие от политики капитализации процентов и курсовых </w:t>
      </w:r>
      <w:proofErr w:type="spellStart"/>
      <w:r>
        <w:rPr>
          <w:rFonts w:ascii="Times New Roman" w:hAnsi="Times New Roman" w:cs="Times New Roman"/>
          <w:sz w:val="28"/>
          <w:szCs w:val="28"/>
        </w:rPr>
        <w:t>разниц</w:t>
      </w:r>
      <w:proofErr w:type="spellEnd"/>
      <w:r>
        <w:rPr>
          <w:rFonts w:ascii="Times New Roman" w:hAnsi="Times New Roman" w:cs="Times New Roman"/>
          <w:sz w:val="28"/>
          <w:szCs w:val="28"/>
        </w:rPr>
        <w:t xml:space="preserve">, </w:t>
      </w:r>
      <w:r w:rsidRPr="0097401D">
        <w:rPr>
          <w:rFonts w:ascii="Times New Roman" w:hAnsi="Times New Roman" w:cs="Times New Roman"/>
          <w:sz w:val="28"/>
          <w:szCs w:val="28"/>
        </w:rPr>
        <w:t xml:space="preserve">процедуру капитализации </w:t>
      </w:r>
      <w:r>
        <w:rPr>
          <w:rFonts w:ascii="Times New Roman" w:hAnsi="Times New Roman" w:cs="Times New Roman"/>
          <w:sz w:val="28"/>
          <w:szCs w:val="28"/>
        </w:rPr>
        <w:t>которых</w:t>
      </w:r>
      <w:r w:rsidRPr="0097401D">
        <w:rPr>
          <w:rFonts w:ascii="Times New Roman" w:hAnsi="Times New Roman" w:cs="Times New Roman"/>
          <w:sz w:val="28"/>
          <w:szCs w:val="28"/>
        </w:rPr>
        <w:t xml:space="preserve"> я освещу в следующей главе на примере компании «Вымпелком».</w:t>
      </w:r>
    </w:p>
    <w:p w:rsidR="0097401D" w:rsidRPr="0097401D" w:rsidRDefault="0097401D" w:rsidP="0097401D">
      <w:pPr>
        <w:pStyle w:val="3"/>
      </w:pPr>
      <w:r w:rsidRPr="0097401D">
        <w:t>Амортизация основных сре</w:t>
      </w:r>
      <w:proofErr w:type="gramStart"/>
      <w:r w:rsidRPr="0097401D">
        <w:t>дств в т</w:t>
      </w:r>
      <w:proofErr w:type="gramEnd"/>
      <w:r w:rsidRPr="0097401D">
        <w:t>елекоммуникационных компаниях</w:t>
      </w:r>
    </w:p>
    <w:p w:rsidR="0097401D" w:rsidRPr="0097401D" w:rsidRDefault="0097401D" w:rsidP="0097401D">
      <w:pPr>
        <w:spacing w:before="240"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lastRenderedPageBreak/>
        <w:t>После принятия к учёту основные средства амортизируются на систематической основе в течение срока полезного использования. Главным вопросом, касающимся амортизации, для телекоммуникационных компаний является разложение основного средства на составные части. Компании требуется выделить компоненты, из которых состоит актив, для того  и амортизировать каждый компонент отдельно.</w:t>
      </w:r>
    </w:p>
    <w:p w:rsidR="0097401D" w:rsidRDefault="0097401D" w:rsidP="0097401D">
      <w:pPr>
        <w:spacing w:before="240"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 xml:space="preserve">К примеру, у компании есть базовая станция, срок полезного использования которой составляет 16 лет. В составе станции есть </w:t>
      </w:r>
      <w:proofErr w:type="spellStart"/>
      <w:r w:rsidRPr="0097401D">
        <w:rPr>
          <w:rFonts w:ascii="Times New Roman" w:hAnsi="Times New Roman" w:cs="Times New Roman"/>
          <w:sz w:val="28"/>
          <w:szCs w:val="28"/>
        </w:rPr>
        <w:t>ретраслятор</w:t>
      </w:r>
      <w:proofErr w:type="spellEnd"/>
      <w:r w:rsidRPr="0097401D">
        <w:rPr>
          <w:rFonts w:ascii="Times New Roman" w:hAnsi="Times New Roman" w:cs="Times New Roman"/>
          <w:sz w:val="28"/>
          <w:szCs w:val="28"/>
        </w:rPr>
        <w:t>, который может использоваться 8 лет. В ретрансляторе есть очень важная составная часть, заменять которую нужно каждые 4 года (и которую саму можно классифицировать как основное средство). В таком случае руководство компании, скорее всего, примет решение о том, что амортизировать каждую из 3 частей единого актива, базовой станции, нужно отдельно.</w:t>
      </w:r>
      <w:r>
        <w:rPr>
          <w:rFonts w:ascii="Times New Roman" w:hAnsi="Times New Roman" w:cs="Times New Roman"/>
          <w:sz w:val="28"/>
          <w:szCs w:val="28"/>
        </w:rPr>
        <w:t xml:space="preserve"> Однако в этой области амортизации остаётся достаточно обширное поле для оценочного суждения бухгалтера, которое позволяет отчётности в соответствии с МСФО более реалистично отражать стоимость основных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 xml:space="preserve">алансе компании в каждый момент времени. </w:t>
      </w:r>
    </w:p>
    <w:p w:rsidR="0097401D" w:rsidRPr="0097401D" w:rsidRDefault="0097401D" w:rsidP="0097401D">
      <w:pPr>
        <w:spacing w:before="240" w:line="360" w:lineRule="auto"/>
        <w:ind w:firstLine="567"/>
        <w:jc w:val="both"/>
        <w:rPr>
          <w:rFonts w:ascii="Times New Roman" w:hAnsi="Times New Roman" w:cs="Times New Roman"/>
          <w:sz w:val="28"/>
          <w:szCs w:val="28"/>
        </w:rPr>
      </w:pPr>
    </w:p>
    <w:p w:rsidR="00D67A0C" w:rsidRPr="004A2C92" w:rsidRDefault="004A2C92" w:rsidP="0097401D">
      <w:pPr>
        <w:spacing w:before="240" w:line="360" w:lineRule="auto"/>
        <w:ind w:firstLine="567"/>
        <w:jc w:val="both"/>
        <w:rPr>
          <w:rFonts w:ascii="Times New Roman" w:hAnsi="Times New Roman" w:cs="Times New Roman"/>
          <w:sz w:val="28"/>
          <w:szCs w:val="28"/>
        </w:rPr>
      </w:pPr>
      <w:r w:rsidRPr="00953906">
        <w:br w:type="page"/>
      </w:r>
      <w:r>
        <w:rPr>
          <w:rFonts w:ascii="Times New Roman" w:hAnsi="Times New Roman" w:cs="Times New Roman"/>
          <w:sz w:val="28"/>
          <w:szCs w:val="28"/>
        </w:rPr>
        <w:lastRenderedPageBreak/>
        <w:t xml:space="preserve"> </w:t>
      </w:r>
    </w:p>
    <w:p w:rsidR="00D65968" w:rsidRDefault="00D67A0C" w:rsidP="00EF0F4F">
      <w:pPr>
        <w:pStyle w:val="1"/>
      </w:pPr>
      <w:bookmarkStart w:id="16" w:name="_Toc347844812"/>
      <w:bookmarkStart w:id="17" w:name="_Toc356280314"/>
      <w:r w:rsidRPr="00EF0F4F">
        <w:rPr>
          <w:color w:val="auto"/>
          <w:sz w:val="32"/>
          <w:szCs w:val="32"/>
        </w:rPr>
        <w:t>Глава 3</w:t>
      </w:r>
      <w:r w:rsidR="00525828" w:rsidRPr="00EF0F4F">
        <w:rPr>
          <w:color w:val="auto"/>
          <w:sz w:val="32"/>
          <w:szCs w:val="32"/>
        </w:rPr>
        <w:t xml:space="preserve">. </w:t>
      </w:r>
      <w:r w:rsidR="0068785E">
        <w:rPr>
          <w:color w:val="auto"/>
          <w:sz w:val="32"/>
          <w:szCs w:val="32"/>
        </w:rPr>
        <w:t>Особенности учёта в соответствии с МСФО в телекоммуникационной сфере</w:t>
      </w:r>
      <w:r w:rsidRPr="00EF0F4F">
        <w:rPr>
          <w:color w:val="auto"/>
          <w:sz w:val="32"/>
          <w:szCs w:val="32"/>
        </w:rPr>
        <w:t xml:space="preserve"> в России</w:t>
      </w:r>
      <w:bookmarkEnd w:id="16"/>
      <w:bookmarkEnd w:id="17"/>
    </w:p>
    <w:p w:rsidR="00032307" w:rsidRPr="00EF0F4F" w:rsidRDefault="00F145A0" w:rsidP="00EF0F4F">
      <w:pPr>
        <w:pStyle w:val="2"/>
        <w:rPr>
          <w:color w:val="auto"/>
        </w:rPr>
      </w:pPr>
      <w:bookmarkStart w:id="18" w:name="_Toc356280315"/>
      <w:r>
        <w:rPr>
          <w:color w:val="auto"/>
        </w:rPr>
        <w:t>Обзор телекоммуникационного рынка</w:t>
      </w:r>
      <w:r w:rsidR="00032307" w:rsidRPr="00EF0F4F">
        <w:rPr>
          <w:color w:val="auto"/>
        </w:rPr>
        <w:t xml:space="preserve"> в России</w:t>
      </w:r>
      <w:bookmarkEnd w:id="18"/>
      <w:r w:rsidR="00E858E2" w:rsidRPr="00EF0F4F">
        <w:rPr>
          <w:color w:val="auto"/>
        </w:rPr>
        <w:t xml:space="preserve"> </w:t>
      </w:r>
    </w:p>
    <w:p w:rsidR="001B3E84" w:rsidRDefault="00D81E8B" w:rsidP="001B3E84">
      <w:pPr>
        <w:pStyle w:val="3"/>
        <w:spacing w:line="360" w:lineRule="auto"/>
        <w:ind w:firstLine="567"/>
        <w:jc w:val="both"/>
        <w:rPr>
          <w:rFonts w:eastAsiaTheme="minorHAnsi"/>
          <w:b w:val="0"/>
          <w:bCs w:val="0"/>
          <w:sz w:val="28"/>
          <w:szCs w:val="28"/>
          <w:lang w:eastAsia="en-US"/>
        </w:rPr>
      </w:pPr>
      <w:bookmarkStart w:id="19" w:name="_Toc356280316"/>
      <w:r w:rsidRPr="00726404">
        <w:rPr>
          <w:rFonts w:eastAsiaTheme="minorHAnsi"/>
          <w:b w:val="0"/>
          <w:bCs w:val="0"/>
          <w:sz w:val="28"/>
          <w:szCs w:val="28"/>
          <w:lang w:eastAsia="en-US"/>
        </w:rPr>
        <w:t>С точки зрения экономической теории, телекоммуникационная отрасль лучше всего описывается базовой моделью рынка с сетевыми эффектами, дифференцированным продуктом и небольшим числом участников (сетевая олигополия)</w:t>
      </w:r>
      <w:r w:rsidR="00726404" w:rsidRPr="00726404">
        <w:rPr>
          <w:rFonts w:eastAsiaTheme="minorHAnsi"/>
          <w:b w:val="0"/>
          <w:bCs w:val="0"/>
          <w:sz w:val="28"/>
          <w:szCs w:val="28"/>
          <w:lang w:eastAsia="en-US"/>
        </w:rPr>
        <w:t>.</w:t>
      </w:r>
      <w:r w:rsidRPr="00726404">
        <w:rPr>
          <w:rStyle w:val="a6"/>
          <w:rFonts w:eastAsiaTheme="minorHAnsi"/>
          <w:b w:val="0"/>
          <w:bCs w:val="0"/>
          <w:sz w:val="28"/>
          <w:szCs w:val="28"/>
          <w:lang w:eastAsia="en-US"/>
        </w:rPr>
        <w:footnoteReference w:id="15"/>
      </w:r>
      <w:r w:rsidR="001B3E84">
        <w:rPr>
          <w:rFonts w:eastAsiaTheme="minorHAnsi"/>
          <w:b w:val="0"/>
          <w:bCs w:val="0"/>
          <w:sz w:val="28"/>
          <w:szCs w:val="28"/>
          <w:lang w:eastAsia="en-US"/>
        </w:rPr>
        <w:t xml:space="preserve"> Одной из главных особенностей такого рынка является  </w:t>
      </w:r>
      <w:r w:rsidR="001B3E84" w:rsidRPr="001B3E84">
        <w:rPr>
          <w:rFonts w:eastAsiaTheme="minorHAnsi"/>
          <w:b w:val="0"/>
          <w:bCs w:val="0"/>
          <w:sz w:val="28"/>
          <w:szCs w:val="28"/>
          <w:lang w:eastAsia="en-US"/>
        </w:rPr>
        <w:t>выделение продукта какой-либо фирмы в глазах потребителей из остальных товаров или услуг</w:t>
      </w:r>
      <w:r w:rsidR="001B3E84">
        <w:rPr>
          <w:rFonts w:eastAsiaTheme="minorHAnsi"/>
          <w:b w:val="0"/>
          <w:bCs w:val="0"/>
          <w:sz w:val="28"/>
          <w:szCs w:val="28"/>
          <w:lang w:eastAsia="en-US"/>
        </w:rPr>
        <w:t xml:space="preserve"> </w:t>
      </w:r>
      <w:r w:rsidR="001B3E84" w:rsidRPr="001B3E84">
        <w:rPr>
          <w:rFonts w:eastAsiaTheme="minorHAnsi"/>
          <w:b w:val="0"/>
          <w:bCs w:val="0"/>
          <w:sz w:val="28"/>
          <w:szCs w:val="28"/>
          <w:lang w:eastAsia="en-US"/>
        </w:rPr>
        <w:t>данного класса</w:t>
      </w:r>
      <w:r w:rsidR="001B3E84">
        <w:rPr>
          <w:rFonts w:eastAsiaTheme="minorHAnsi"/>
          <w:b w:val="0"/>
          <w:bCs w:val="0"/>
          <w:sz w:val="28"/>
          <w:szCs w:val="28"/>
          <w:lang w:eastAsia="en-US"/>
        </w:rPr>
        <w:t>, достаточно хорошо выраженное на рынке телекоммуникаций (потребители обычно пользуются продуктом одной компании в течение длительного времени).</w:t>
      </w:r>
      <w:bookmarkEnd w:id="19"/>
      <w:r w:rsidR="001B3E84">
        <w:rPr>
          <w:rFonts w:eastAsiaTheme="minorHAnsi"/>
          <w:b w:val="0"/>
          <w:bCs w:val="0"/>
          <w:sz w:val="28"/>
          <w:szCs w:val="28"/>
          <w:lang w:eastAsia="en-US"/>
        </w:rPr>
        <w:t xml:space="preserve">  </w:t>
      </w:r>
    </w:p>
    <w:p w:rsidR="001B3E84" w:rsidRDefault="001B3E84" w:rsidP="00A754F1">
      <w:pPr>
        <w:pStyle w:val="3"/>
        <w:spacing w:line="360" w:lineRule="auto"/>
        <w:ind w:firstLine="567"/>
        <w:jc w:val="both"/>
        <w:rPr>
          <w:rFonts w:eastAsiaTheme="minorHAnsi"/>
          <w:b w:val="0"/>
          <w:bCs w:val="0"/>
          <w:sz w:val="28"/>
          <w:szCs w:val="28"/>
          <w:lang w:eastAsia="en-US"/>
        </w:rPr>
      </w:pPr>
      <w:bookmarkStart w:id="20" w:name="_Toc356280317"/>
      <w:r>
        <w:rPr>
          <w:rFonts w:eastAsiaTheme="minorHAnsi"/>
          <w:b w:val="0"/>
          <w:bCs w:val="0"/>
          <w:sz w:val="28"/>
          <w:szCs w:val="28"/>
          <w:lang w:eastAsia="en-US"/>
        </w:rPr>
        <w:t>Этот фактор приводит к тому, что фирмы обладают рыночной властью из-за наличия приверженных потребителей и имеют возможность устанавливать достаточно высокие цены без существенных потерь в объёмах продаж. С другой стороны, п</w:t>
      </w:r>
      <w:r w:rsidRPr="001B3E84">
        <w:rPr>
          <w:rFonts w:eastAsiaTheme="minorHAnsi"/>
          <w:b w:val="0"/>
          <w:bCs w:val="0"/>
          <w:sz w:val="28"/>
          <w:szCs w:val="28"/>
          <w:lang w:eastAsia="en-US"/>
        </w:rPr>
        <w:t>родуктовая дифференциация расширяет возможности потребительского выбора</w:t>
      </w:r>
      <w:r>
        <w:rPr>
          <w:rFonts w:eastAsiaTheme="minorHAnsi"/>
          <w:b w:val="0"/>
          <w:bCs w:val="0"/>
          <w:sz w:val="28"/>
          <w:szCs w:val="28"/>
          <w:lang w:eastAsia="en-US"/>
        </w:rPr>
        <w:t>, играя на руку потребителям.</w:t>
      </w:r>
      <w:bookmarkEnd w:id="20"/>
      <w:r>
        <w:rPr>
          <w:rFonts w:eastAsiaTheme="minorHAnsi"/>
          <w:b w:val="0"/>
          <w:bCs w:val="0"/>
          <w:sz w:val="28"/>
          <w:szCs w:val="28"/>
          <w:lang w:eastAsia="en-US"/>
        </w:rPr>
        <w:t xml:space="preserve"> </w:t>
      </w:r>
    </w:p>
    <w:p w:rsidR="001B3E84" w:rsidRDefault="001B3E84" w:rsidP="001B3E84">
      <w:pPr>
        <w:pStyle w:val="3"/>
        <w:spacing w:line="360" w:lineRule="auto"/>
        <w:ind w:firstLine="567"/>
        <w:jc w:val="both"/>
        <w:rPr>
          <w:rFonts w:eastAsiaTheme="minorHAnsi"/>
          <w:b w:val="0"/>
          <w:bCs w:val="0"/>
          <w:sz w:val="28"/>
          <w:szCs w:val="28"/>
          <w:lang w:eastAsia="en-US"/>
        </w:rPr>
      </w:pPr>
      <w:bookmarkStart w:id="21" w:name="_Toc356280318"/>
      <w:r>
        <w:rPr>
          <w:rFonts w:eastAsiaTheme="minorHAnsi"/>
          <w:b w:val="0"/>
          <w:bCs w:val="0"/>
          <w:sz w:val="28"/>
          <w:szCs w:val="28"/>
          <w:lang w:eastAsia="en-US"/>
        </w:rPr>
        <w:t>Естественно, общей моделью невозможно полностью описать такую многогранную и быстро меняющуюся отрасль, как телекоммуникации, поэтому далее я освещу особенности этой индустрии более подробно.</w:t>
      </w:r>
      <w:bookmarkEnd w:id="21"/>
    </w:p>
    <w:p w:rsidR="00B35EDF" w:rsidRDefault="001B3E84" w:rsidP="00B35EDF">
      <w:pPr>
        <w:pStyle w:val="3"/>
        <w:spacing w:line="360" w:lineRule="auto"/>
        <w:ind w:firstLine="567"/>
        <w:jc w:val="both"/>
        <w:rPr>
          <w:rFonts w:eastAsiaTheme="minorHAnsi"/>
          <w:b w:val="0"/>
          <w:bCs w:val="0"/>
          <w:sz w:val="28"/>
          <w:szCs w:val="28"/>
          <w:lang w:eastAsia="en-US"/>
        </w:rPr>
      </w:pPr>
      <w:bookmarkStart w:id="22" w:name="_Toc356280319"/>
      <w:r>
        <w:rPr>
          <w:rFonts w:eastAsiaTheme="minorHAnsi"/>
          <w:b w:val="0"/>
          <w:bCs w:val="0"/>
          <w:sz w:val="28"/>
          <w:szCs w:val="28"/>
          <w:lang w:eastAsia="en-US"/>
        </w:rPr>
        <w:t>Несмотря на продуктовую диффере</w:t>
      </w:r>
      <w:r w:rsidR="0068785E">
        <w:rPr>
          <w:rFonts w:eastAsiaTheme="minorHAnsi"/>
          <w:b w:val="0"/>
          <w:bCs w:val="0"/>
          <w:sz w:val="28"/>
          <w:szCs w:val="28"/>
          <w:lang w:eastAsia="en-US"/>
        </w:rPr>
        <w:t>нциацию, благодаря мощной работ</w:t>
      </w:r>
      <w:r>
        <w:rPr>
          <w:rFonts w:eastAsiaTheme="minorHAnsi"/>
          <w:b w:val="0"/>
          <w:bCs w:val="0"/>
          <w:sz w:val="28"/>
          <w:szCs w:val="28"/>
          <w:lang w:eastAsia="en-US"/>
        </w:rPr>
        <w:t xml:space="preserve">е механизмов рынка телекоммуникации являются </w:t>
      </w:r>
      <w:proofErr w:type="gramStart"/>
      <w:r>
        <w:rPr>
          <w:rFonts w:eastAsiaTheme="minorHAnsi"/>
          <w:b w:val="0"/>
          <w:bCs w:val="0"/>
          <w:sz w:val="28"/>
          <w:szCs w:val="28"/>
          <w:lang w:eastAsia="en-US"/>
        </w:rPr>
        <w:t>достаточно конкурентной</w:t>
      </w:r>
      <w:proofErr w:type="gramEnd"/>
      <w:r>
        <w:rPr>
          <w:rFonts w:eastAsiaTheme="minorHAnsi"/>
          <w:b w:val="0"/>
          <w:bCs w:val="0"/>
          <w:sz w:val="28"/>
          <w:szCs w:val="28"/>
          <w:lang w:eastAsia="en-US"/>
        </w:rPr>
        <w:t xml:space="preserve"> отраслью. Конкуренция ещё больше усиливается из-за того, что две крупнейшие компании на рынке </w:t>
      </w:r>
      <w:r w:rsidR="00DD5FF0">
        <w:rPr>
          <w:rFonts w:eastAsiaTheme="minorHAnsi"/>
          <w:b w:val="0"/>
          <w:bCs w:val="0"/>
          <w:sz w:val="28"/>
          <w:szCs w:val="28"/>
          <w:lang w:eastAsia="en-US"/>
        </w:rPr>
        <w:t xml:space="preserve">(Вымпелком и МТС) </w:t>
      </w:r>
      <w:r>
        <w:rPr>
          <w:rFonts w:eastAsiaTheme="minorHAnsi"/>
          <w:b w:val="0"/>
          <w:bCs w:val="0"/>
          <w:sz w:val="28"/>
          <w:szCs w:val="28"/>
          <w:lang w:eastAsia="en-US"/>
        </w:rPr>
        <w:t xml:space="preserve">являются открытыми, </w:t>
      </w:r>
      <w:r>
        <w:rPr>
          <w:rFonts w:eastAsiaTheme="minorHAnsi"/>
          <w:b w:val="0"/>
          <w:bCs w:val="0"/>
          <w:sz w:val="28"/>
          <w:szCs w:val="28"/>
          <w:lang w:eastAsia="en-US"/>
        </w:rPr>
        <w:lastRenderedPageBreak/>
        <w:t xml:space="preserve">и их акции котируются </w:t>
      </w:r>
      <w:r w:rsidR="00DD5FF0">
        <w:rPr>
          <w:rFonts w:eastAsiaTheme="minorHAnsi"/>
          <w:b w:val="0"/>
          <w:bCs w:val="0"/>
          <w:sz w:val="28"/>
          <w:szCs w:val="28"/>
          <w:lang w:eastAsia="en-US"/>
        </w:rPr>
        <w:t xml:space="preserve">на </w:t>
      </w:r>
      <w:r>
        <w:rPr>
          <w:rFonts w:eastAsiaTheme="minorHAnsi"/>
          <w:b w:val="0"/>
          <w:bCs w:val="0"/>
          <w:sz w:val="28"/>
          <w:szCs w:val="28"/>
          <w:lang w:eastAsia="en-US"/>
        </w:rPr>
        <w:t>NYSE</w:t>
      </w:r>
      <w:r>
        <w:rPr>
          <w:rStyle w:val="a6"/>
          <w:rFonts w:eastAsiaTheme="minorHAnsi"/>
          <w:b w:val="0"/>
          <w:bCs w:val="0"/>
          <w:sz w:val="28"/>
          <w:szCs w:val="28"/>
          <w:lang w:eastAsia="en-US"/>
        </w:rPr>
        <w:footnoteReference w:id="16"/>
      </w:r>
      <w:r>
        <w:rPr>
          <w:rFonts w:eastAsiaTheme="minorHAnsi"/>
          <w:b w:val="0"/>
          <w:bCs w:val="0"/>
          <w:sz w:val="28"/>
          <w:szCs w:val="28"/>
          <w:lang w:eastAsia="en-US"/>
        </w:rPr>
        <w:t xml:space="preserve">. </w:t>
      </w:r>
      <w:r w:rsidR="00B35EDF">
        <w:rPr>
          <w:rFonts w:eastAsiaTheme="minorHAnsi"/>
          <w:b w:val="0"/>
          <w:bCs w:val="0"/>
          <w:sz w:val="28"/>
          <w:szCs w:val="28"/>
          <w:lang w:eastAsia="en-US"/>
        </w:rPr>
        <w:t>Тем не менее, т</w:t>
      </w:r>
      <w:r w:rsidR="00B35EDF" w:rsidRPr="00B35EDF">
        <w:rPr>
          <w:rFonts w:eastAsiaTheme="minorHAnsi"/>
          <w:b w:val="0"/>
          <w:bCs w:val="0"/>
          <w:sz w:val="28"/>
          <w:szCs w:val="28"/>
          <w:lang w:eastAsia="en-US"/>
        </w:rPr>
        <w:t>елекоммуникационный рынок относится</w:t>
      </w:r>
      <w:r w:rsidR="00B35EDF">
        <w:rPr>
          <w:rFonts w:eastAsiaTheme="minorHAnsi"/>
          <w:b w:val="0"/>
          <w:bCs w:val="0"/>
          <w:sz w:val="28"/>
          <w:szCs w:val="28"/>
          <w:lang w:eastAsia="en-US"/>
        </w:rPr>
        <w:t xml:space="preserve"> </w:t>
      </w:r>
      <w:r w:rsidR="00B35EDF" w:rsidRPr="00B35EDF">
        <w:rPr>
          <w:rFonts w:eastAsiaTheme="minorHAnsi"/>
          <w:b w:val="0"/>
          <w:bCs w:val="0"/>
          <w:sz w:val="28"/>
          <w:szCs w:val="28"/>
          <w:lang w:eastAsia="en-US"/>
        </w:rPr>
        <w:t xml:space="preserve">к рынкам с </w:t>
      </w:r>
      <w:r w:rsidR="00381773">
        <w:rPr>
          <w:rFonts w:eastAsiaTheme="minorHAnsi"/>
          <w:b w:val="0"/>
          <w:bCs w:val="0"/>
          <w:sz w:val="28"/>
          <w:szCs w:val="28"/>
          <w:lang w:eastAsia="en-US"/>
        </w:rPr>
        <w:t xml:space="preserve">очень </w:t>
      </w:r>
      <w:r w:rsidR="00B35EDF" w:rsidRPr="00B35EDF">
        <w:rPr>
          <w:rFonts w:eastAsiaTheme="minorHAnsi"/>
          <w:b w:val="0"/>
          <w:bCs w:val="0"/>
          <w:sz w:val="28"/>
          <w:szCs w:val="28"/>
          <w:lang w:eastAsia="en-US"/>
        </w:rPr>
        <w:t>высокой степенью концентрации:</w:t>
      </w:r>
      <w:r w:rsidR="00B35EDF">
        <w:rPr>
          <w:rFonts w:eastAsiaTheme="minorHAnsi"/>
          <w:b w:val="0"/>
          <w:bCs w:val="0"/>
          <w:sz w:val="28"/>
          <w:szCs w:val="28"/>
          <w:lang w:eastAsia="en-US"/>
        </w:rPr>
        <w:t xml:space="preserve"> </w:t>
      </w:r>
      <w:r w:rsidR="00B35EDF" w:rsidRPr="00B35EDF">
        <w:rPr>
          <w:rFonts w:eastAsiaTheme="minorHAnsi"/>
          <w:b w:val="0"/>
          <w:bCs w:val="0"/>
          <w:sz w:val="28"/>
          <w:szCs w:val="28"/>
          <w:lang w:eastAsia="en-US"/>
        </w:rPr>
        <w:t>на пять ли</w:t>
      </w:r>
      <w:r w:rsidR="0068785E">
        <w:rPr>
          <w:rFonts w:eastAsiaTheme="minorHAnsi"/>
          <w:b w:val="0"/>
          <w:bCs w:val="0"/>
          <w:sz w:val="28"/>
          <w:szCs w:val="28"/>
          <w:lang w:eastAsia="en-US"/>
        </w:rPr>
        <w:t>дирующих компаний приходится 80</w:t>
      </w:r>
      <w:r w:rsidR="00B35EDF" w:rsidRPr="00B35EDF">
        <w:rPr>
          <w:rFonts w:eastAsiaTheme="minorHAnsi"/>
          <w:b w:val="0"/>
          <w:bCs w:val="0"/>
          <w:sz w:val="28"/>
          <w:szCs w:val="28"/>
          <w:lang w:eastAsia="en-US"/>
        </w:rPr>
        <w:t xml:space="preserve">% выручки </w:t>
      </w:r>
      <w:r w:rsidR="00B35EDF">
        <w:rPr>
          <w:rFonts w:eastAsiaTheme="minorHAnsi"/>
          <w:b w:val="0"/>
          <w:bCs w:val="0"/>
          <w:sz w:val="28"/>
          <w:szCs w:val="28"/>
          <w:lang w:eastAsia="en-US"/>
        </w:rPr>
        <w:t>100 крупнейших компаний</w:t>
      </w:r>
      <w:r w:rsidR="00B35EDF" w:rsidRPr="00B35EDF">
        <w:rPr>
          <w:rFonts w:eastAsiaTheme="minorHAnsi"/>
          <w:b w:val="0"/>
          <w:bCs w:val="0"/>
          <w:sz w:val="28"/>
          <w:szCs w:val="28"/>
          <w:lang w:eastAsia="en-US"/>
        </w:rPr>
        <w:t>,</w:t>
      </w:r>
      <w:r w:rsidR="00B35EDF">
        <w:rPr>
          <w:rFonts w:eastAsiaTheme="minorHAnsi"/>
          <w:b w:val="0"/>
          <w:bCs w:val="0"/>
          <w:sz w:val="28"/>
          <w:szCs w:val="28"/>
          <w:lang w:eastAsia="en-US"/>
        </w:rPr>
        <w:t xml:space="preserve"> </w:t>
      </w:r>
      <w:r w:rsidR="00B35EDF" w:rsidRPr="00B35EDF">
        <w:rPr>
          <w:rFonts w:eastAsiaTheme="minorHAnsi"/>
          <w:b w:val="0"/>
          <w:bCs w:val="0"/>
          <w:sz w:val="28"/>
          <w:szCs w:val="28"/>
          <w:lang w:eastAsia="en-US"/>
        </w:rPr>
        <w:t>на десять компаний — 90 %.</w:t>
      </w:r>
      <w:bookmarkEnd w:id="22"/>
      <w:r w:rsidR="00B35EDF">
        <w:rPr>
          <w:rFonts w:eastAsiaTheme="minorHAnsi"/>
          <w:b w:val="0"/>
          <w:bCs w:val="0"/>
          <w:sz w:val="28"/>
          <w:szCs w:val="28"/>
          <w:lang w:eastAsia="en-US"/>
        </w:rPr>
        <w:t xml:space="preserve"> </w:t>
      </w:r>
    </w:p>
    <w:p w:rsidR="00B35EDF" w:rsidRDefault="00B35EDF" w:rsidP="00300C17">
      <w:pPr>
        <w:pStyle w:val="3"/>
        <w:spacing w:line="360" w:lineRule="auto"/>
        <w:ind w:firstLine="567"/>
        <w:jc w:val="both"/>
        <w:rPr>
          <w:rFonts w:eastAsiaTheme="minorHAnsi"/>
          <w:b w:val="0"/>
          <w:bCs w:val="0"/>
          <w:sz w:val="28"/>
          <w:szCs w:val="28"/>
          <w:lang w:eastAsia="en-US"/>
        </w:rPr>
      </w:pPr>
      <w:bookmarkStart w:id="23" w:name="_Toc356280320"/>
      <w:r>
        <w:rPr>
          <w:rFonts w:eastAsiaTheme="minorHAnsi"/>
          <w:b w:val="0"/>
          <w:bCs w:val="0"/>
          <w:sz w:val="28"/>
          <w:szCs w:val="28"/>
          <w:lang w:eastAsia="en-US"/>
        </w:rPr>
        <w:t xml:space="preserve">В 2011 году выручка 100 ведущих </w:t>
      </w:r>
      <w:r w:rsidR="0068785E">
        <w:rPr>
          <w:rFonts w:eastAsiaTheme="minorHAnsi"/>
          <w:b w:val="0"/>
          <w:bCs w:val="0"/>
          <w:sz w:val="28"/>
          <w:szCs w:val="28"/>
          <w:lang w:eastAsia="en-US"/>
        </w:rPr>
        <w:t xml:space="preserve">российских </w:t>
      </w:r>
      <w:r>
        <w:rPr>
          <w:rFonts w:eastAsiaTheme="minorHAnsi"/>
          <w:b w:val="0"/>
          <w:bCs w:val="0"/>
          <w:sz w:val="28"/>
          <w:szCs w:val="28"/>
          <w:lang w:eastAsia="en-US"/>
        </w:rPr>
        <w:t xml:space="preserve">телекоммуникационных компаний составила 1,691 млрд. руб., чистая прибыль составила 338,3 млрд. </w:t>
      </w:r>
      <w:proofErr w:type="spellStart"/>
      <w:r>
        <w:rPr>
          <w:rFonts w:eastAsiaTheme="minorHAnsi"/>
          <w:b w:val="0"/>
          <w:bCs w:val="0"/>
          <w:sz w:val="28"/>
          <w:szCs w:val="28"/>
          <w:lang w:eastAsia="en-US"/>
        </w:rPr>
        <w:t>руб</w:t>
      </w:r>
      <w:proofErr w:type="spellEnd"/>
      <w:r w:rsidR="0068785E">
        <w:rPr>
          <w:rStyle w:val="a6"/>
          <w:rFonts w:eastAsiaTheme="minorHAnsi"/>
          <w:b w:val="0"/>
          <w:bCs w:val="0"/>
          <w:sz w:val="28"/>
          <w:szCs w:val="28"/>
          <w:lang w:eastAsia="en-US"/>
        </w:rPr>
        <w:footnoteReference w:id="17"/>
      </w:r>
      <w:r>
        <w:rPr>
          <w:rFonts w:eastAsiaTheme="minorHAnsi"/>
          <w:b w:val="0"/>
          <w:bCs w:val="0"/>
          <w:sz w:val="28"/>
          <w:szCs w:val="28"/>
          <w:lang w:eastAsia="en-US"/>
        </w:rPr>
        <w:t>. По предварительным данным 2012 года, выручка продолжает расти с темпом около 10% в год. В</w:t>
      </w:r>
      <w:r w:rsidR="00300C17">
        <w:rPr>
          <w:rFonts w:eastAsiaTheme="minorHAnsi"/>
          <w:b w:val="0"/>
          <w:bCs w:val="0"/>
          <w:sz w:val="28"/>
          <w:szCs w:val="28"/>
          <w:lang w:eastAsia="en-US"/>
        </w:rPr>
        <w:t xml:space="preserve"> отрасли выделяются четыре явных</w:t>
      </w:r>
      <w:r>
        <w:rPr>
          <w:rFonts w:eastAsiaTheme="minorHAnsi"/>
          <w:b w:val="0"/>
          <w:bCs w:val="0"/>
          <w:sz w:val="28"/>
          <w:szCs w:val="28"/>
          <w:lang w:eastAsia="en-US"/>
        </w:rPr>
        <w:t xml:space="preserve"> лидера:</w:t>
      </w:r>
      <w:r w:rsidRPr="00B35EDF">
        <w:rPr>
          <w:rFonts w:eastAsiaTheme="minorHAnsi"/>
          <w:b w:val="0"/>
          <w:bCs w:val="0"/>
          <w:sz w:val="28"/>
          <w:szCs w:val="28"/>
          <w:lang w:eastAsia="en-US"/>
        </w:rPr>
        <w:t xml:space="preserve"> «Мобильные </w:t>
      </w:r>
      <w:proofErr w:type="spellStart"/>
      <w:r w:rsidRPr="00B35EDF">
        <w:rPr>
          <w:rFonts w:eastAsiaTheme="minorHAnsi"/>
          <w:b w:val="0"/>
          <w:bCs w:val="0"/>
          <w:sz w:val="28"/>
          <w:szCs w:val="28"/>
          <w:lang w:eastAsia="en-US"/>
        </w:rPr>
        <w:t>ТелеСистемы</w:t>
      </w:r>
      <w:proofErr w:type="spellEnd"/>
      <w:r w:rsidRPr="00B35EDF">
        <w:rPr>
          <w:rFonts w:eastAsiaTheme="minorHAnsi"/>
          <w:b w:val="0"/>
          <w:bCs w:val="0"/>
          <w:sz w:val="28"/>
          <w:szCs w:val="28"/>
          <w:lang w:eastAsia="en-US"/>
        </w:rPr>
        <w:t>»</w:t>
      </w:r>
      <w:r>
        <w:rPr>
          <w:rFonts w:eastAsiaTheme="minorHAnsi"/>
          <w:b w:val="0"/>
          <w:bCs w:val="0"/>
          <w:sz w:val="28"/>
          <w:szCs w:val="28"/>
          <w:lang w:eastAsia="en-US"/>
        </w:rPr>
        <w:t xml:space="preserve"> </w:t>
      </w:r>
      <w:r w:rsidRPr="00B35EDF">
        <w:rPr>
          <w:rFonts w:eastAsiaTheme="minorHAnsi"/>
          <w:b w:val="0"/>
          <w:bCs w:val="0"/>
          <w:sz w:val="28"/>
          <w:szCs w:val="28"/>
          <w:lang w:eastAsia="en-US"/>
        </w:rPr>
        <w:t xml:space="preserve">(с выручкой 362,1 </w:t>
      </w:r>
      <w:proofErr w:type="spellStart"/>
      <w:proofErr w:type="gramStart"/>
      <w:r w:rsidRPr="00B35EDF">
        <w:rPr>
          <w:rFonts w:eastAsiaTheme="minorHAnsi"/>
          <w:b w:val="0"/>
          <w:bCs w:val="0"/>
          <w:sz w:val="28"/>
          <w:szCs w:val="28"/>
          <w:lang w:eastAsia="en-US"/>
        </w:rPr>
        <w:t>млрд</w:t>
      </w:r>
      <w:proofErr w:type="spellEnd"/>
      <w:proofErr w:type="gramEnd"/>
      <w:r w:rsidRPr="00B35EDF">
        <w:rPr>
          <w:rFonts w:eastAsiaTheme="minorHAnsi"/>
          <w:b w:val="0"/>
          <w:bCs w:val="0"/>
          <w:sz w:val="28"/>
          <w:szCs w:val="28"/>
          <w:lang w:eastAsia="en-US"/>
        </w:rPr>
        <w:t xml:space="preserve"> руб.), «</w:t>
      </w:r>
      <w:proofErr w:type="spellStart"/>
      <w:r w:rsidRPr="00B35EDF">
        <w:rPr>
          <w:rFonts w:eastAsiaTheme="minorHAnsi"/>
          <w:b w:val="0"/>
          <w:bCs w:val="0"/>
          <w:sz w:val="28"/>
          <w:szCs w:val="28"/>
          <w:lang w:eastAsia="en-US"/>
        </w:rPr>
        <w:t>ВымпелКом</w:t>
      </w:r>
      <w:proofErr w:type="spellEnd"/>
      <w:r w:rsidRPr="00B35EDF">
        <w:rPr>
          <w:rFonts w:eastAsiaTheme="minorHAnsi"/>
          <w:b w:val="0"/>
          <w:bCs w:val="0"/>
          <w:sz w:val="28"/>
          <w:szCs w:val="28"/>
          <w:lang w:eastAsia="en-US"/>
        </w:rPr>
        <w:t>»</w:t>
      </w:r>
      <w:r>
        <w:rPr>
          <w:rFonts w:eastAsiaTheme="minorHAnsi"/>
          <w:b w:val="0"/>
          <w:bCs w:val="0"/>
          <w:sz w:val="28"/>
          <w:szCs w:val="28"/>
          <w:lang w:eastAsia="en-US"/>
        </w:rPr>
        <w:t xml:space="preserve"> </w:t>
      </w:r>
      <w:r w:rsidRPr="00B35EDF">
        <w:rPr>
          <w:rFonts w:eastAsiaTheme="minorHAnsi"/>
          <w:b w:val="0"/>
          <w:bCs w:val="0"/>
          <w:sz w:val="28"/>
          <w:szCs w:val="28"/>
          <w:lang w:eastAsia="en-US"/>
        </w:rPr>
        <w:t xml:space="preserve">(360,9 </w:t>
      </w:r>
      <w:proofErr w:type="spellStart"/>
      <w:r w:rsidRPr="00B35EDF">
        <w:rPr>
          <w:rFonts w:eastAsiaTheme="minorHAnsi"/>
          <w:b w:val="0"/>
          <w:bCs w:val="0"/>
          <w:sz w:val="28"/>
          <w:szCs w:val="28"/>
          <w:lang w:eastAsia="en-US"/>
        </w:rPr>
        <w:t>млрд</w:t>
      </w:r>
      <w:proofErr w:type="spellEnd"/>
      <w:r w:rsidRPr="00B35EDF">
        <w:rPr>
          <w:rFonts w:eastAsiaTheme="minorHAnsi"/>
          <w:b w:val="0"/>
          <w:bCs w:val="0"/>
          <w:sz w:val="28"/>
          <w:szCs w:val="28"/>
          <w:lang w:eastAsia="en-US"/>
        </w:rPr>
        <w:t xml:space="preserve"> руб</w:t>
      </w:r>
      <w:r>
        <w:rPr>
          <w:rFonts w:eastAsiaTheme="minorHAnsi"/>
          <w:b w:val="0"/>
          <w:bCs w:val="0"/>
          <w:sz w:val="28"/>
          <w:szCs w:val="28"/>
          <w:lang w:eastAsia="en-US"/>
        </w:rPr>
        <w:t>.)</w:t>
      </w:r>
      <w:r w:rsidRPr="00B35EDF">
        <w:rPr>
          <w:rFonts w:eastAsiaTheme="minorHAnsi"/>
          <w:b w:val="0"/>
          <w:bCs w:val="0"/>
          <w:sz w:val="28"/>
          <w:szCs w:val="28"/>
          <w:lang w:eastAsia="en-US"/>
        </w:rPr>
        <w:t>, «</w:t>
      </w:r>
      <w:proofErr w:type="spellStart"/>
      <w:r w:rsidRPr="00B35EDF">
        <w:rPr>
          <w:rFonts w:eastAsiaTheme="minorHAnsi"/>
          <w:b w:val="0"/>
          <w:bCs w:val="0"/>
          <w:sz w:val="28"/>
          <w:szCs w:val="28"/>
          <w:lang w:eastAsia="en-US"/>
        </w:rPr>
        <w:t>Ростелеком</w:t>
      </w:r>
      <w:proofErr w:type="spellEnd"/>
      <w:r w:rsidRPr="00B35EDF">
        <w:rPr>
          <w:rFonts w:eastAsiaTheme="minorHAnsi"/>
          <w:b w:val="0"/>
          <w:bCs w:val="0"/>
          <w:sz w:val="28"/>
          <w:szCs w:val="28"/>
          <w:lang w:eastAsia="en-US"/>
        </w:rPr>
        <w:t xml:space="preserve">» (296,1 </w:t>
      </w:r>
      <w:proofErr w:type="spellStart"/>
      <w:r w:rsidRPr="00B35EDF">
        <w:rPr>
          <w:rFonts w:eastAsiaTheme="minorHAnsi"/>
          <w:b w:val="0"/>
          <w:bCs w:val="0"/>
          <w:sz w:val="28"/>
          <w:szCs w:val="28"/>
          <w:lang w:eastAsia="en-US"/>
        </w:rPr>
        <w:t>млрд</w:t>
      </w:r>
      <w:proofErr w:type="spellEnd"/>
      <w:r>
        <w:rPr>
          <w:rFonts w:eastAsiaTheme="minorHAnsi"/>
          <w:b w:val="0"/>
          <w:bCs w:val="0"/>
          <w:sz w:val="28"/>
          <w:szCs w:val="28"/>
          <w:lang w:eastAsia="en-US"/>
        </w:rPr>
        <w:t xml:space="preserve"> </w:t>
      </w:r>
      <w:r w:rsidRPr="00B35EDF">
        <w:rPr>
          <w:rFonts w:eastAsiaTheme="minorHAnsi"/>
          <w:b w:val="0"/>
          <w:bCs w:val="0"/>
          <w:sz w:val="28"/>
          <w:szCs w:val="28"/>
          <w:lang w:eastAsia="en-US"/>
        </w:rPr>
        <w:t>руб.) и «</w:t>
      </w:r>
      <w:proofErr w:type="spellStart"/>
      <w:r w:rsidRPr="00B35EDF">
        <w:rPr>
          <w:rFonts w:eastAsiaTheme="minorHAnsi"/>
          <w:b w:val="0"/>
          <w:bCs w:val="0"/>
          <w:sz w:val="28"/>
          <w:szCs w:val="28"/>
          <w:lang w:eastAsia="en-US"/>
        </w:rPr>
        <w:t>МегаФон</w:t>
      </w:r>
      <w:proofErr w:type="spellEnd"/>
      <w:r w:rsidRPr="00B35EDF">
        <w:rPr>
          <w:rFonts w:eastAsiaTheme="minorHAnsi"/>
          <w:b w:val="0"/>
          <w:bCs w:val="0"/>
          <w:sz w:val="28"/>
          <w:szCs w:val="28"/>
          <w:lang w:eastAsia="en-US"/>
        </w:rPr>
        <w:t xml:space="preserve">» (242,6 </w:t>
      </w:r>
      <w:proofErr w:type="spellStart"/>
      <w:r w:rsidRPr="00B35EDF">
        <w:rPr>
          <w:rFonts w:eastAsiaTheme="minorHAnsi"/>
          <w:b w:val="0"/>
          <w:bCs w:val="0"/>
          <w:sz w:val="28"/>
          <w:szCs w:val="28"/>
          <w:lang w:eastAsia="en-US"/>
        </w:rPr>
        <w:t>млрд</w:t>
      </w:r>
      <w:proofErr w:type="spellEnd"/>
      <w:r w:rsidRPr="00B35EDF">
        <w:rPr>
          <w:rFonts w:eastAsiaTheme="minorHAnsi"/>
          <w:b w:val="0"/>
          <w:bCs w:val="0"/>
          <w:sz w:val="28"/>
          <w:szCs w:val="28"/>
          <w:lang w:eastAsia="en-US"/>
        </w:rPr>
        <w:t xml:space="preserve"> руб.</w:t>
      </w:r>
      <w:r w:rsidR="00300C17">
        <w:rPr>
          <w:rFonts w:eastAsiaTheme="minorHAnsi"/>
          <w:b w:val="0"/>
          <w:bCs w:val="0"/>
          <w:sz w:val="28"/>
          <w:szCs w:val="28"/>
          <w:lang w:eastAsia="en-US"/>
        </w:rPr>
        <w:t>). Таким образом, с</w:t>
      </w:r>
      <w:r>
        <w:rPr>
          <w:rFonts w:eastAsiaTheme="minorHAnsi"/>
          <w:b w:val="0"/>
          <w:bCs w:val="0"/>
          <w:sz w:val="28"/>
          <w:szCs w:val="28"/>
          <w:lang w:eastAsia="en-US"/>
        </w:rPr>
        <w:t xml:space="preserve">уммарный объём реализации услуг четырёх </w:t>
      </w:r>
      <w:r w:rsidR="00300C17">
        <w:rPr>
          <w:rFonts w:eastAsiaTheme="minorHAnsi"/>
          <w:b w:val="0"/>
          <w:bCs w:val="0"/>
          <w:sz w:val="28"/>
          <w:szCs w:val="28"/>
          <w:lang w:eastAsia="en-US"/>
        </w:rPr>
        <w:t>крупнейших</w:t>
      </w:r>
      <w:r>
        <w:rPr>
          <w:rFonts w:eastAsiaTheme="minorHAnsi"/>
          <w:b w:val="0"/>
          <w:bCs w:val="0"/>
          <w:sz w:val="28"/>
          <w:szCs w:val="28"/>
          <w:lang w:eastAsia="en-US"/>
        </w:rPr>
        <w:t xml:space="preserve"> компаний в 2011 году составил 73% совокупного оборота 100 ведущих компаний.</w:t>
      </w:r>
      <w:bookmarkEnd w:id="23"/>
      <w:r>
        <w:rPr>
          <w:rFonts w:eastAsiaTheme="minorHAnsi"/>
          <w:b w:val="0"/>
          <w:bCs w:val="0"/>
          <w:sz w:val="28"/>
          <w:szCs w:val="28"/>
          <w:lang w:eastAsia="en-US"/>
        </w:rPr>
        <w:t xml:space="preserve"> </w:t>
      </w:r>
    </w:p>
    <w:p w:rsidR="001B3E84" w:rsidRDefault="002653EF" w:rsidP="001B3E84">
      <w:pPr>
        <w:pStyle w:val="3"/>
        <w:spacing w:line="360" w:lineRule="auto"/>
        <w:ind w:firstLine="567"/>
        <w:jc w:val="both"/>
        <w:rPr>
          <w:rFonts w:eastAsiaTheme="minorHAnsi"/>
          <w:b w:val="0"/>
          <w:bCs w:val="0"/>
          <w:sz w:val="28"/>
          <w:szCs w:val="28"/>
          <w:lang w:eastAsia="en-US"/>
        </w:rPr>
      </w:pPr>
      <w:bookmarkStart w:id="24" w:name="_Toc356280321"/>
      <w:r>
        <w:rPr>
          <w:rFonts w:eastAsiaTheme="minorHAnsi"/>
          <w:b w:val="0"/>
          <w:bCs w:val="0"/>
          <w:sz w:val="28"/>
          <w:szCs w:val="28"/>
          <w:lang w:eastAsia="en-US"/>
        </w:rPr>
        <w:t>Также необходимо упомянуть, что в телекоммуникационной отрасли иностранные инвестиции составляют значительную часть заёмного капитала, соответственно</w:t>
      </w:r>
      <w:r w:rsidR="00B35EDF">
        <w:rPr>
          <w:rFonts w:eastAsiaTheme="minorHAnsi"/>
          <w:b w:val="0"/>
          <w:bCs w:val="0"/>
          <w:sz w:val="28"/>
          <w:szCs w:val="28"/>
          <w:lang w:eastAsia="en-US"/>
        </w:rPr>
        <w:t>, зарубежные компании через контроль бизнес-процессов оказывают значительное влияние на развитие отрасли.</w:t>
      </w:r>
      <w:bookmarkEnd w:id="24"/>
      <w:r w:rsidR="00B35EDF">
        <w:rPr>
          <w:rFonts w:eastAsiaTheme="minorHAnsi"/>
          <w:b w:val="0"/>
          <w:bCs w:val="0"/>
          <w:sz w:val="28"/>
          <w:szCs w:val="28"/>
          <w:lang w:eastAsia="en-US"/>
        </w:rPr>
        <w:t xml:space="preserve"> </w:t>
      </w:r>
    </w:p>
    <w:p w:rsidR="00381773" w:rsidRDefault="00381773" w:rsidP="001B3E84">
      <w:pPr>
        <w:pStyle w:val="3"/>
        <w:spacing w:line="360" w:lineRule="auto"/>
        <w:ind w:firstLine="567"/>
        <w:jc w:val="both"/>
        <w:rPr>
          <w:rFonts w:eastAsiaTheme="minorHAnsi"/>
          <w:b w:val="0"/>
          <w:bCs w:val="0"/>
          <w:sz w:val="28"/>
          <w:szCs w:val="28"/>
          <w:lang w:eastAsia="en-US"/>
        </w:rPr>
      </w:pPr>
      <w:bookmarkStart w:id="25" w:name="_Toc356280322"/>
      <w:r>
        <w:rPr>
          <w:rFonts w:eastAsiaTheme="minorHAnsi"/>
          <w:b w:val="0"/>
          <w:bCs w:val="0"/>
          <w:sz w:val="28"/>
          <w:szCs w:val="28"/>
          <w:lang w:eastAsia="en-US"/>
        </w:rPr>
        <w:t>Лидирующие компании объединяют в себе множество направлений, каждое из которых относится к предоставлению услуг связи абонентам. К примеру, в компании «Вымпелком» основные виды бизнеса выглядят следующим образом:</w:t>
      </w:r>
      <w:bookmarkEnd w:id="25"/>
    </w:p>
    <w:p w:rsidR="00381773" w:rsidRPr="00381773" w:rsidRDefault="00381773" w:rsidP="00381773">
      <w:pPr>
        <w:pStyle w:val="3"/>
        <w:numPr>
          <w:ilvl w:val="0"/>
          <w:numId w:val="19"/>
        </w:numPr>
        <w:spacing w:line="360" w:lineRule="auto"/>
        <w:jc w:val="both"/>
        <w:rPr>
          <w:rFonts w:eastAsiaTheme="minorHAnsi"/>
          <w:b w:val="0"/>
          <w:bCs w:val="0"/>
          <w:sz w:val="28"/>
          <w:szCs w:val="28"/>
          <w:lang w:eastAsia="en-US"/>
        </w:rPr>
      </w:pPr>
      <w:bookmarkStart w:id="26" w:name="_Toc356280323"/>
      <w:r w:rsidRPr="00381773">
        <w:rPr>
          <w:rFonts w:eastAsiaTheme="minorHAnsi"/>
          <w:b w:val="0"/>
          <w:bCs w:val="0"/>
          <w:sz w:val="28"/>
          <w:szCs w:val="28"/>
          <w:lang w:eastAsia="en-US"/>
        </w:rPr>
        <w:t>Мобильная связь (историческое ядро бизнеса — «Билайн»);</w:t>
      </w:r>
      <w:bookmarkEnd w:id="26"/>
    </w:p>
    <w:p w:rsidR="00381773" w:rsidRPr="00381773" w:rsidRDefault="00381773" w:rsidP="00381773">
      <w:pPr>
        <w:pStyle w:val="3"/>
        <w:numPr>
          <w:ilvl w:val="0"/>
          <w:numId w:val="19"/>
        </w:numPr>
        <w:spacing w:line="360" w:lineRule="auto"/>
        <w:jc w:val="both"/>
        <w:rPr>
          <w:rFonts w:eastAsiaTheme="minorHAnsi"/>
          <w:b w:val="0"/>
          <w:bCs w:val="0"/>
          <w:sz w:val="28"/>
          <w:szCs w:val="28"/>
          <w:lang w:eastAsia="en-US"/>
        </w:rPr>
      </w:pPr>
      <w:bookmarkStart w:id="27" w:name="_Toc356280324"/>
      <w:r>
        <w:rPr>
          <w:rFonts w:eastAsiaTheme="minorHAnsi"/>
          <w:b w:val="0"/>
          <w:bCs w:val="0"/>
          <w:sz w:val="28"/>
          <w:szCs w:val="28"/>
          <w:lang w:eastAsia="en-US"/>
        </w:rPr>
        <w:t xml:space="preserve">Широкополосный </w:t>
      </w:r>
      <w:r w:rsidRPr="00381773">
        <w:rPr>
          <w:rFonts w:eastAsiaTheme="minorHAnsi"/>
          <w:b w:val="0"/>
          <w:bCs w:val="0"/>
          <w:sz w:val="28"/>
          <w:szCs w:val="28"/>
          <w:lang w:eastAsia="en-US"/>
        </w:rPr>
        <w:t xml:space="preserve">доступ </w:t>
      </w:r>
      <w:r>
        <w:rPr>
          <w:rFonts w:eastAsiaTheme="minorHAnsi"/>
          <w:b w:val="0"/>
          <w:bCs w:val="0"/>
          <w:sz w:val="28"/>
          <w:szCs w:val="28"/>
          <w:lang w:eastAsia="en-US"/>
        </w:rPr>
        <w:t>(</w:t>
      </w:r>
      <w:r w:rsidRPr="00381773">
        <w:rPr>
          <w:rFonts w:eastAsiaTheme="minorHAnsi"/>
          <w:b w:val="0"/>
          <w:bCs w:val="0"/>
          <w:sz w:val="28"/>
          <w:szCs w:val="28"/>
          <w:lang w:eastAsia="en-US"/>
        </w:rPr>
        <w:t>ШПД</w:t>
      </w:r>
      <w:r>
        <w:rPr>
          <w:rFonts w:eastAsiaTheme="minorHAnsi"/>
          <w:b w:val="0"/>
          <w:bCs w:val="0"/>
          <w:sz w:val="28"/>
          <w:szCs w:val="28"/>
          <w:lang w:eastAsia="en-US"/>
        </w:rPr>
        <w:t>)</w:t>
      </w:r>
      <w:r w:rsidRPr="00381773">
        <w:rPr>
          <w:rFonts w:eastAsiaTheme="minorHAnsi"/>
          <w:b w:val="0"/>
          <w:bCs w:val="0"/>
          <w:sz w:val="28"/>
          <w:szCs w:val="28"/>
          <w:lang w:eastAsia="en-US"/>
        </w:rPr>
        <w:t xml:space="preserve"> (на основе «</w:t>
      </w:r>
      <w:proofErr w:type="spellStart"/>
      <w:r w:rsidRPr="00381773">
        <w:rPr>
          <w:rFonts w:eastAsiaTheme="minorHAnsi"/>
          <w:b w:val="0"/>
          <w:bCs w:val="0"/>
          <w:sz w:val="28"/>
          <w:szCs w:val="28"/>
          <w:lang w:eastAsia="en-US"/>
        </w:rPr>
        <w:t>Корбины</w:t>
      </w:r>
      <w:proofErr w:type="spellEnd"/>
      <w:r w:rsidRPr="00381773">
        <w:rPr>
          <w:rFonts w:eastAsiaTheme="minorHAnsi"/>
          <w:b w:val="0"/>
          <w:bCs w:val="0"/>
          <w:sz w:val="28"/>
          <w:szCs w:val="28"/>
          <w:lang w:eastAsia="en-US"/>
        </w:rPr>
        <w:t>»);</w:t>
      </w:r>
      <w:bookmarkEnd w:id="27"/>
    </w:p>
    <w:p w:rsidR="00381773" w:rsidRPr="00381773" w:rsidRDefault="00381773" w:rsidP="00381773">
      <w:pPr>
        <w:pStyle w:val="3"/>
        <w:numPr>
          <w:ilvl w:val="0"/>
          <w:numId w:val="19"/>
        </w:numPr>
        <w:spacing w:line="360" w:lineRule="auto"/>
        <w:jc w:val="both"/>
        <w:rPr>
          <w:rFonts w:eastAsiaTheme="minorHAnsi"/>
          <w:b w:val="0"/>
          <w:bCs w:val="0"/>
          <w:sz w:val="28"/>
          <w:szCs w:val="28"/>
          <w:lang w:eastAsia="en-US"/>
        </w:rPr>
      </w:pPr>
      <w:bookmarkStart w:id="28" w:name="_Toc356280325"/>
      <w:r w:rsidRPr="00381773">
        <w:rPr>
          <w:rFonts w:eastAsiaTheme="minorHAnsi"/>
          <w:b w:val="0"/>
          <w:bCs w:val="0"/>
          <w:sz w:val="28"/>
          <w:szCs w:val="28"/>
          <w:lang w:eastAsia="en-US"/>
        </w:rPr>
        <w:t xml:space="preserve">Дальняя связь (на основе </w:t>
      </w:r>
      <w:proofErr w:type="spellStart"/>
      <w:r w:rsidRPr="00381773">
        <w:rPr>
          <w:rFonts w:eastAsiaTheme="minorHAnsi"/>
          <w:b w:val="0"/>
          <w:bCs w:val="0"/>
          <w:sz w:val="28"/>
          <w:szCs w:val="28"/>
          <w:lang w:eastAsia="en-US"/>
        </w:rPr>
        <w:t>Golden</w:t>
      </w:r>
      <w:proofErr w:type="spellEnd"/>
      <w:r w:rsidRPr="00381773">
        <w:rPr>
          <w:rFonts w:eastAsiaTheme="minorHAnsi"/>
          <w:b w:val="0"/>
          <w:bCs w:val="0"/>
          <w:sz w:val="28"/>
          <w:szCs w:val="28"/>
          <w:lang w:eastAsia="en-US"/>
        </w:rPr>
        <w:t xml:space="preserve"> </w:t>
      </w:r>
      <w:proofErr w:type="spellStart"/>
      <w:r w:rsidRPr="00381773">
        <w:rPr>
          <w:rFonts w:eastAsiaTheme="minorHAnsi"/>
          <w:b w:val="0"/>
          <w:bCs w:val="0"/>
          <w:sz w:val="28"/>
          <w:szCs w:val="28"/>
          <w:lang w:eastAsia="en-US"/>
        </w:rPr>
        <w:t>Telecom</w:t>
      </w:r>
      <w:proofErr w:type="spellEnd"/>
      <w:r>
        <w:rPr>
          <w:rFonts w:eastAsiaTheme="minorHAnsi"/>
          <w:b w:val="0"/>
          <w:bCs w:val="0"/>
          <w:sz w:val="28"/>
          <w:szCs w:val="28"/>
          <w:lang w:eastAsia="en-US"/>
        </w:rPr>
        <w:t xml:space="preserve"> </w:t>
      </w:r>
      <w:r>
        <w:rPr>
          <w:rFonts w:eastAsiaTheme="minorHAnsi"/>
          <w:b w:val="0"/>
          <w:bCs w:val="0"/>
          <w:sz w:val="28"/>
          <w:szCs w:val="28"/>
          <w:lang w:val="en-US" w:eastAsia="en-US"/>
        </w:rPr>
        <w:t>Inc</w:t>
      </w:r>
      <w:r w:rsidRPr="00381773">
        <w:rPr>
          <w:rFonts w:eastAsiaTheme="minorHAnsi"/>
          <w:b w:val="0"/>
          <w:bCs w:val="0"/>
          <w:sz w:val="28"/>
          <w:szCs w:val="28"/>
          <w:lang w:eastAsia="en-US"/>
        </w:rPr>
        <w:t>.);</w:t>
      </w:r>
      <w:bookmarkEnd w:id="28"/>
    </w:p>
    <w:p w:rsidR="00381773" w:rsidRPr="00381773" w:rsidRDefault="00381773" w:rsidP="00381773">
      <w:pPr>
        <w:pStyle w:val="3"/>
        <w:numPr>
          <w:ilvl w:val="0"/>
          <w:numId w:val="19"/>
        </w:numPr>
        <w:spacing w:line="360" w:lineRule="auto"/>
        <w:jc w:val="both"/>
        <w:rPr>
          <w:rFonts w:eastAsiaTheme="minorHAnsi"/>
          <w:b w:val="0"/>
          <w:bCs w:val="0"/>
          <w:sz w:val="28"/>
          <w:szCs w:val="28"/>
          <w:lang w:eastAsia="en-US"/>
        </w:rPr>
      </w:pPr>
      <w:bookmarkStart w:id="29" w:name="_Toc356280326"/>
      <w:proofErr w:type="spellStart"/>
      <w:r w:rsidRPr="00381773">
        <w:rPr>
          <w:rFonts w:eastAsiaTheme="minorHAnsi"/>
          <w:b w:val="0"/>
          <w:bCs w:val="0"/>
          <w:sz w:val="28"/>
          <w:szCs w:val="28"/>
          <w:lang w:eastAsia="en-US"/>
        </w:rPr>
        <w:lastRenderedPageBreak/>
        <w:t>Ритейл</w:t>
      </w:r>
      <w:proofErr w:type="spellEnd"/>
      <w:r w:rsidRPr="00381773">
        <w:rPr>
          <w:rFonts w:eastAsiaTheme="minorHAnsi"/>
          <w:b w:val="0"/>
          <w:bCs w:val="0"/>
          <w:sz w:val="28"/>
          <w:szCs w:val="28"/>
          <w:lang w:eastAsia="en-US"/>
        </w:rPr>
        <w:t xml:space="preserve"> («</w:t>
      </w:r>
      <w:proofErr w:type="spellStart"/>
      <w:r w:rsidRPr="00381773">
        <w:rPr>
          <w:rFonts w:eastAsiaTheme="minorHAnsi"/>
          <w:b w:val="0"/>
          <w:bCs w:val="0"/>
          <w:sz w:val="28"/>
          <w:szCs w:val="28"/>
          <w:lang w:eastAsia="en-US"/>
        </w:rPr>
        <w:t>Евросеть</w:t>
      </w:r>
      <w:proofErr w:type="spellEnd"/>
      <w:r w:rsidRPr="00381773">
        <w:rPr>
          <w:rFonts w:eastAsiaTheme="minorHAnsi"/>
          <w:b w:val="0"/>
          <w:bCs w:val="0"/>
          <w:sz w:val="28"/>
          <w:szCs w:val="28"/>
          <w:lang w:eastAsia="en-US"/>
        </w:rPr>
        <w:t>»);</w:t>
      </w:r>
      <w:bookmarkEnd w:id="29"/>
    </w:p>
    <w:p w:rsidR="00381773" w:rsidRPr="00381773" w:rsidRDefault="00381773" w:rsidP="00381773">
      <w:pPr>
        <w:pStyle w:val="3"/>
        <w:numPr>
          <w:ilvl w:val="0"/>
          <w:numId w:val="19"/>
        </w:numPr>
        <w:spacing w:line="360" w:lineRule="auto"/>
        <w:jc w:val="both"/>
        <w:rPr>
          <w:rFonts w:eastAsiaTheme="minorHAnsi"/>
          <w:b w:val="0"/>
          <w:bCs w:val="0"/>
          <w:sz w:val="28"/>
          <w:szCs w:val="28"/>
          <w:lang w:eastAsia="en-US"/>
        </w:rPr>
      </w:pPr>
      <w:bookmarkStart w:id="30" w:name="_Toc356280327"/>
      <w:r w:rsidRPr="00381773">
        <w:rPr>
          <w:rFonts w:eastAsiaTheme="minorHAnsi"/>
          <w:b w:val="0"/>
          <w:bCs w:val="0"/>
          <w:sz w:val="28"/>
          <w:szCs w:val="28"/>
          <w:lang w:eastAsia="en-US"/>
        </w:rPr>
        <w:t>Контент Провайдер («</w:t>
      </w:r>
      <w:proofErr w:type="spellStart"/>
      <w:r w:rsidRPr="00381773">
        <w:rPr>
          <w:rFonts w:eastAsiaTheme="minorHAnsi"/>
          <w:b w:val="0"/>
          <w:bCs w:val="0"/>
          <w:sz w:val="28"/>
          <w:szCs w:val="28"/>
          <w:lang w:eastAsia="en-US"/>
        </w:rPr>
        <w:t>Темафон</w:t>
      </w:r>
      <w:proofErr w:type="spellEnd"/>
      <w:r w:rsidRPr="00381773">
        <w:rPr>
          <w:rFonts w:eastAsiaTheme="minorHAnsi"/>
          <w:b w:val="0"/>
          <w:bCs w:val="0"/>
          <w:sz w:val="28"/>
          <w:szCs w:val="28"/>
          <w:lang w:eastAsia="en-US"/>
        </w:rPr>
        <w:t>»).</w:t>
      </w:r>
      <w:bookmarkEnd w:id="30"/>
    </w:p>
    <w:p w:rsidR="00B36B74" w:rsidRDefault="00E500B1" w:rsidP="00B36B74">
      <w:pPr>
        <w:pStyle w:val="3"/>
        <w:spacing w:line="360" w:lineRule="auto"/>
        <w:ind w:firstLine="567"/>
        <w:jc w:val="both"/>
        <w:rPr>
          <w:rFonts w:eastAsiaTheme="minorHAnsi"/>
          <w:b w:val="0"/>
          <w:bCs w:val="0"/>
          <w:sz w:val="28"/>
          <w:szCs w:val="28"/>
          <w:lang w:eastAsia="en-US"/>
        </w:rPr>
      </w:pPr>
      <w:bookmarkStart w:id="31" w:name="_Toc356280328"/>
      <w:r>
        <w:rPr>
          <w:rFonts w:eastAsiaTheme="minorHAnsi"/>
          <w:b w:val="0"/>
          <w:bCs w:val="0"/>
          <w:sz w:val="28"/>
          <w:szCs w:val="28"/>
          <w:lang w:eastAsia="en-US"/>
        </w:rPr>
        <w:t xml:space="preserve">Основным </w:t>
      </w:r>
      <w:r w:rsidR="00B36B74">
        <w:rPr>
          <w:rFonts w:eastAsiaTheme="minorHAnsi"/>
          <w:b w:val="0"/>
          <w:bCs w:val="0"/>
          <w:sz w:val="28"/>
          <w:szCs w:val="28"/>
          <w:lang w:eastAsia="en-US"/>
        </w:rPr>
        <w:t xml:space="preserve">драйвером бизнеса является мобильная связь, историческое ядро бизнеса. </w:t>
      </w:r>
      <w:r w:rsidR="00381773">
        <w:rPr>
          <w:rFonts w:eastAsiaTheme="minorHAnsi"/>
          <w:b w:val="0"/>
          <w:bCs w:val="0"/>
          <w:sz w:val="28"/>
          <w:szCs w:val="28"/>
          <w:lang w:eastAsia="en-US"/>
        </w:rPr>
        <w:t>Рынок мобильной связи практически достиг насыщения (уровень проникновения составляет более 135% - это более 1,35 сим-карт на одного жителя России)</w:t>
      </w:r>
      <w:r>
        <w:rPr>
          <w:rFonts w:eastAsiaTheme="minorHAnsi"/>
          <w:b w:val="0"/>
          <w:bCs w:val="0"/>
          <w:sz w:val="28"/>
          <w:szCs w:val="28"/>
          <w:lang w:eastAsia="en-US"/>
        </w:rPr>
        <w:t>, но продолжает стабильно развиваться за счёт дополнительных услуг, в первую очередь, переда</w:t>
      </w:r>
      <w:r w:rsidR="00B36B74">
        <w:rPr>
          <w:rFonts w:eastAsiaTheme="minorHAnsi"/>
          <w:b w:val="0"/>
          <w:bCs w:val="0"/>
          <w:sz w:val="28"/>
          <w:szCs w:val="28"/>
          <w:lang w:eastAsia="en-US"/>
        </w:rPr>
        <w:t>чи данных с мобильных устройств (</w:t>
      </w:r>
      <w:r w:rsidR="00B36B74" w:rsidRPr="00B36B74">
        <w:rPr>
          <w:rFonts w:eastAsiaTheme="minorHAnsi"/>
          <w:b w:val="0"/>
          <w:bCs w:val="0"/>
          <w:sz w:val="28"/>
          <w:szCs w:val="28"/>
          <w:lang w:eastAsia="en-US"/>
        </w:rPr>
        <w:t>телематические сервисы, фиксированный бизнес, облачные</w:t>
      </w:r>
      <w:r w:rsidR="00B36B74">
        <w:rPr>
          <w:rFonts w:eastAsiaTheme="minorHAnsi"/>
          <w:b w:val="0"/>
          <w:bCs w:val="0"/>
          <w:sz w:val="28"/>
          <w:szCs w:val="28"/>
          <w:lang w:eastAsia="en-US"/>
        </w:rPr>
        <w:t xml:space="preserve"> </w:t>
      </w:r>
      <w:r w:rsidR="00B36B74" w:rsidRPr="00B36B74">
        <w:rPr>
          <w:rFonts w:eastAsiaTheme="minorHAnsi"/>
          <w:b w:val="0"/>
          <w:bCs w:val="0"/>
          <w:sz w:val="28"/>
          <w:szCs w:val="28"/>
          <w:lang w:eastAsia="en-US"/>
        </w:rPr>
        <w:t>вычисления)</w:t>
      </w:r>
      <w:r w:rsidR="00B36B74">
        <w:rPr>
          <w:rFonts w:eastAsiaTheme="minorHAnsi"/>
          <w:b w:val="0"/>
          <w:bCs w:val="0"/>
          <w:sz w:val="28"/>
          <w:szCs w:val="28"/>
          <w:lang w:eastAsia="en-US"/>
        </w:rPr>
        <w:t>. На этом рынке 4 ведущих оператора (</w:t>
      </w:r>
      <w:r w:rsidR="00B36B74">
        <w:rPr>
          <w:rFonts w:eastAsiaTheme="minorHAnsi"/>
          <w:b w:val="0"/>
          <w:bCs w:val="0"/>
          <w:sz w:val="28"/>
          <w:szCs w:val="28"/>
          <w:lang w:val="en-US" w:eastAsia="en-US"/>
        </w:rPr>
        <w:t>Tele</w:t>
      </w:r>
      <w:r w:rsidR="00B36B74" w:rsidRPr="00B36B74">
        <w:rPr>
          <w:rFonts w:eastAsiaTheme="minorHAnsi"/>
          <w:b w:val="0"/>
          <w:bCs w:val="0"/>
          <w:sz w:val="28"/>
          <w:szCs w:val="28"/>
          <w:lang w:eastAsia="en-US"/>
        </w:rPr>
        <w:t xml:space="preserve">2 </w:t>
      </w:r>
      <w:r w:rsidR="00B36B74">
        <w:rPr>
          <w:rFonts w:eastAsiaTheme="minorHAnsi"/>
          <w:b w:val="0"/>
          <w:bCs w:val="0"/>
          <w:sz w:val="28"/>
          <w:szCs w:val="28"/>
          <w:lang w:eastAsia="en-US"/>
        </w:rPr>
        <w:t>и «Большая тройка» - МТС, Билайн, Мегафон) составляют 97% национального рынка. Возможности для роста предоставляет дальнейшая географическая экспансия и поглощение мелких региональных компаний.</w:t>
      </w:r>
      <w:bookmarkEnd w:id="31"/>
      <w:r w:rsidR="00B36B74">
        <w:rPr>
          <w:rFonts w:eastAsiaTheme="minorHAnsi"/>
          <w:b w:val="0"/>
          <w:bCs w:val="0"/>
          <w:sz w:val="28"/>
          <w:szCs w:val="28"/>
          <w:lang w:eastAsia="en-US"/>
        </w:rPr>
        <w:t xml:space="preserve">  </w:t>
      </w:r>
    </w:p>
    <w:p w:rsidR="00B36B74" w:rsidRDefault="00B36B74" w:rsidP="00B36B74">
      <w:pPr>
        <w:pStyle w:val="3"/>
        <w:spacing w:line="360" w:lineRule="auto"/>
        <w:ind w:firstLine="567"/>
        <w:jc w:val="both"/>
        <w:rPr>
          <w:rFonts w:eastAsiaTheme="minorHAnsi"/>
          <w:b w:val="0"/>
          <w:bCs w:val="0"/>
          <w:sz w:val="28"/>
          <w:szCs w:val="28"/>
          <w:lang w:eastAsia="en-US"/>
        </w:rPr>
      </w:pPr>
      <w:bookmarkStart w:id="32" w:name="_Toc356280329"/>
      <w:r>
        <w:rPr>
          <w:rFonts w:eastAsiaTheme="minorHAnsi"/>
          <w:b w:val="0"/>
          <w:bCs w:val="0"/>
          <w:sz w:val="28"/>
          <w:szCs w:val="28"/>
          <w:lang w:eastAsia="en-US"/>
        </w:rPr>
        <w:t>Представить конкурентные позиции компании «Вымпелком» можно так</w:t>
      </w:r>
      <w:r>
        <w:rPr>
          <w:rStyle w:val="a6"/>
          <w:rFonts w:eastAsiaTheme="minorHAnsi"/>
          <w:b w:val="0"/>
          <w:bCs w:val="0"/>
          <w:sz w:val="28"/>
          <w:szCs w:val="28"/>
          <w:lang w:eastAsia="en-US"/>
        </w:rPr>
        <w:footnoteReference w:id="18"/>
      </w:r>
      <w:r>
        <w:rPr>
          <w:rFonts w:eastAsiaTheme="minorHAnsi"/>
          <w:b w:val="0"/>
          <w:bCs w:val="0"/>
          <w:sz w:val="28"/>
          <w:szCs w:val="28"/>
          <w:lang w:eastAsia="en-US"/>
        </w:rPr>
        <w:t>:</w:t>
      </w:r>
      <w:bookmarkEnd w:id="32"/>
    </w:p>
    <w:p w:rsidR="00B36B74" w:rsidRPr="00381773" w:rsidRDefault="00B36B74" w:rsidP="00B36B74">
      <w:pPr>
        <w:pStyle w:val="3"/>
        <w:spacing w:line="360" w:lineRule="auto"/>
        <w:ind w:firstLine="567"/>
        <w:jc w:val="both"/>
        <w:rPr>
          <w:rFonts w:eastAsiaTheme="minorHAnsi"/>
          <w:b w:val="0"/>
          <w:bCs w:val="0"/>
          <w:sz w:val="28"/>
          <w:szCs w:val="28"/>
          <w:lang w:eastAsia="en-US"/>
        </w:rPr>
      </w:pPr>
      <w:r>
        <w:rPr>
          <w:rFonts w:eastAsiaTheme="minorHAnsi"/>
          <w:b w:val="0"/>
          <w:bCs w:val="0"/>
          <w:noProof/>
          <w:sz w:val="28"/>
          <w:szCs w:val="28"/>
        </w:rPr>
        <w:drawing>
          <wp:inline distT="0" distB="0" distL="0" distR="0">
            <wp:extent cx="4184015" cy="359727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84015" cy="3597275"/>
                    </a:xfrm>
                    <a:prstGeom prst="rect">
                      <a:avLst/>
                    </a:prstGeom>
                    <a:noFill/>
                    <a:ln w="9525">
                      <a:noFill/>
                      <a:miter lim="800000"/>
                      <a:headEnd/>
                      <a:tailEnd/>
                    </a:ln>
                  </pic:spPr>
                </pic:pic>
              </a:graphicData>
            </a:graphic>
          </wp:inline>
        </w:drawing>
      </w:r>
    </w:p>
    <w:p w:rsidR="00B35EDF" w:rsidRDefault="00B36B74" w:rsidP="001B3E84">
      <w:pPr>
        <w:pStyle w:val="3"/>
        <w:spacing w:line="360" w:lineRule="auto"/>
        <w:ind w:firstLine="567"/>
        <w:jc w:val="both"/>
        <w:rPr>
          <w:rFonts w:eastAsiaTheme="minorHAnsi"/>
          <w:b w:val="0"/>
          <w:bCs w:val="0"/>
          <w:sz w:val="28"/>
          <w:szCs w:val="28"/>
          <w:lang w:eastAsia="en-US"/>
        </w:rPr>
      </w:pPr>
      <w:bookmarkStart w:id="33" w:name="_Toc356280330"/>
      <w:r>
        <w:rPr>
          <w:rFonts w:eastAsiaTheme="minorHAnsi"/>
          <w:b w:val="0"/>
          <w:bCs w:val="0"/>
          <w:sz w:val="28"/>
          <w:szCs w:val="28"/>
          <w:lang w:eastAsia="en-US"/>
        </w:rPr>
        <w:lastRenderedPageBreak/>
        <w:t xml:space="preserve">Таким образом, превратить отрасль </w:t>
      </w:r>
      <w:r w:rsidR="0068785E">
        <w:rPr>
          <w:rFonts w:eastAsiaTheme="minorHAnsi"/>
          <w:b w:val="0"/>
          <w:bCs w:val="0"/>
          <w:sz w:val="28"/>
          <w:szCs w:val="28"/>
          <w:lang w:eastAsia="en-US"/>
        </w:rPr>
        <w:t>в</w:t>
      </w:r>
      <w:r>
        <w:rPr>
          <w:rFonts w:eastAsiaTheme="minorHAnsi"/>
          <w:b w:val="0"/>
          <w:bCs w:val="0"/>
          <w:sz w:val="28"/>
          <w:szCs w:val="28"/>
          <w:lang w:eastAsia="en-US"/>
        </w:rPr>
        <w:t xml:space="preserve"> естественную олигополию или даже монополию для компании «Вымпелком» и других лидеров рынка на данном этапе развития достаточно сложно, но такая тенденция в последние годы усиливается.</w:t>
      </w:r>
      <w:bookmarkEnd w:id="33"/>
      <w:r>
        <w:rPr>
          <w:rFonts w:eastAsiaTheme="minorHAnsi"/>
          <w:b w:val="0"/>
          <w:bCs w:val="0"/>
          <w:sz w:val="28"/>
          <w:szCs w:val="28"/>
          <w:lang w:eastAsia="en-US"/>
        </w:rPr>
        <w:t xml:space="preserve"> </w:t>
      </w:r>
    </w:p>
    <w:p w:rsidR="00B36B74" w:rsidRDefault="00B36B74" w:rsidP="00B36B74">
      <w:pPr>
        <w:pStyle w:val="3"/>
        <w:spacing w:line="360" w:lineRule="auto"/>
        <w:ind w:firstLine="567"/>
        <w:jc w:val="both"/>
        <w:rPr>
          <w:rFonts w:eastAsiaTheme="minorHAnsi"/>
          <w:b w:val="0"/>
          <w:bCs w:val="0"/>
          <w:sz w:val="28"/>
          <w:szCs w:val="28"/>
          <w:lang w:eastAsia="en-US"/>
        </w:rPr>
      </w:pPr>
      <w:bookmarkStart w:id="34" w:name="_Toc356280331"/>
      <w:proofErr w:type="gramStart"/>
      <w:r w:rsidRPr="00B36B74">
        <w:rPr>
          <w:rFonts w:eastAsiaTheme="minorHAnsi"/>
          <w:b w:val="0"/>
          <w:bCs w:val="0"/>
          <w:sz w:val="28"/>
          <w:szCs w:val="28"/>
          <w:lang w:eastAsia="en-US"/>
        </w:rPr>
        <w:t>Данная отрасль демонстрирует в наиболее явном виде</w:t>
      </w:r>
      <w:r>
        <w:rPr>
          <w:rFonts w:eastAsiaTheme="minorHAnsi"/>
          <w:b w:val="0"/>
          <w:bCs w:val="0"/>
          <w:sz w:val="28"/>
          <w:szCs w:val="28"/>
          <w:lang w:eastAsia="en-US"/>
        </w:rPr>
        <w:t xml:space="preserve"> </w:t>
      </w:r>
      <w:r w:rsidRPr="00B36B74">
        <w:rPr>
          <w:rFonts w:eastAsiaTheme="minorHAnsi"/>
          <w:b w:val="0"/>
          <w:bCs w:val="0"/>
          <w:sz w:val="28"/>
          <w:szCs w:val="28"/>
          <w:lang w:eastAsia="en-US"/>
        </w:rPr>
        <w:t xml:space="preserve">механизм становления и эволюции естественной олигополии: как только потребители </w:t>
      </w:r>
      <w:r>
        <w:rPr>
          <w:rFonts w:eastAsiaTheme="minorHAnsi"/>
          <w:b w:val="0"/>
          <w:bCs w:val="0"/>
          <w:sz w:val="28"/>
          <w:szCs w:val="28"/>
          <w:lang w:eastAsia="en-US"/>
        </w:rPr>
        <w:t xml:space="preserve">теряют </w:t>
      </w:r>
      <w:r w:rsidRPr="00B36B74">
        <w:rPr>
          <w:rFonts w:eastAsiaTheme="minorHAnsi"/>
          <w:b w:val="0"/>
          <w:bCs w:val="0"/>
          <w:sz w:val="28"/>
          <w:szCs w:val="28"/>
          <w:lang w:eastAsia="en-US"/>
        </w:rPr>
        <w:t>интерес к качественным компонентам продукта, усиливается ценовая конкуренция; когда же</w:t>
      </w:r>
      <w:r>
        <w:rPr>
          <w:rFonts w:eastAsiaTheme="minorHAnsi"/>
          <w:b w:val="0"/>
          <w:bCs w:val="0"/>
          <w:sz w:val="28"/>
          <w:szCs w:val="28"/>
          <w:lang w:eastAsia="en-US"/>
        </w:rPr>
        <w:t xml:space="preserve"> </w:t>
      </w:r>
      <w:r w:rsidRPr="00B36B74">
        <w:rPr>
          <w:rFonts w:eastAsiaTheme="minorHAnsi"/>
          <w:b w:val="0"/>
          <w:bCs w:val="0"/>
          <w:sz w:val="28"/>
          <w:szCs w:val="28"/>
          <w:lang w:eastAsia="en-US"/>
        </w:rPr>
        <w:t>компаниям удается найти или создать значимые факторы дифференциации, выбор потребителей</w:t>
      </w:r>
      <w:r>
        <w:rPr>
          <w:rFonts w:eastAsiaTheme="minorHAnsi"/>
          <w:b w:val="0"/>
          <w:bCs w:val="0"/>
          <w:sz w:val="28"/>
          <w:szCs w:val="28"/>
          <w:lang w:eastAsia="en-US"/>
        </w:rPr>
        <w:t xml:space="preserve"> </w:t>
      </w:r>
      <w:r w:rsidRPr="00B36B74">
        <w:rPr>
          <w:rFonts w:eastAsiaTheme="minorHAnsi"/>
          <w:b w:val="0"/>
          <w:bCs w:val="0"/>
          <w:sz w:val="28"/>
          <w:szCs w:val="28"/>
          <w:lang w:eastAsia="en-US"/>
        </w:rPr>
        <w:t>становится все менее связанным с ценой и отрасль оказывается поделенной на сегменты с единственным лидером</w:t>
      </w:r>
      <w:r>
        <w:rPr>
          <w:rStyle w:val="a6"/>
          <w:rFonts w:eastAsiaTheme="minorHAnsi"/>
          <w:b w:val="0"/>
          <w:bCs w:val="0"/>
          <w:sz w:val="28"/>
          <w:szCs w:val="28"/>
          <w:lang w:eastAsia="en-US"/>
        </w:rPr>
        <w:footnoteReference w:id="19"/>
      </w:r>
      <w:r w:rsidRPr="00B36B74">
        <w:rPr>
          <w:rFonts w:eastAsiaTheme="minorHAnsi"/>
          <w:b w:val="0"/>
          <w:bCs w:val="0"/>
          <w:sz w:val="28"/>
          <w:szCs w:val="28"/>
          <w:lang w:eastAsia="en-US"/>
        </w:rPr>
        <w:t>.</w:t>
      </w:r>
      <w:bookmarkEnd w:id="34"/>
      <w:proofErr w:type="gramEnd"/>
    </w:p>
    <w:p w:rsidR="0013289D" w:rsidRDefault="0013289D" w:rsidP="00EF0F4F">
      <w:pPr>
        <w:pStyle w:val="2"/>
        <w:rPr>
          <w:color w:val="000000" w:themeColor="text1"/>
        </w:rPr>
      </w:pPr>
      <w:bookmarkStart w:id="35" w:name="_Toc356280332"/>
      <w:r w:rsidRPr="00EF0F4F">
        <w:rPr>
          <w:color w:val="auto"/>
        </w:rPr>
        <w:t>Признание выручки по МСФО в одной из телекоммуникационных компаний</w:t>
      </w:r>
      <w:bookmarkEnd w:id="35"/>
    </w:p>
    <w:p w:rsidR="002A530E" w:rsidRDefault="002A530E" w:rsidP="002A530E"/>
    <w:p w:rsid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В предыдущей главе я описывала некоторые моменты, связанные с признанием выручки одной из телекоммуникационных компаний. Сейчас я хочу продолжить э</w:t>
      </w:r>
      <w:r w:rsidR="009E3E7B">
        <w:rPr>
          <w:rFonts w:ascii="Times New Roman" w:hAnsi="Times New Roman" w:cs="Times New Roman"/>
          <w:sz w:val="28"/>
          <w:szCs w:val="28"/>
        </w:rPr>
        <w:t>ту тему, раскрыв в общих чертах</w:t>
      </w:r>
      <w:r w:rsidRPr="002A530E">
        <w:rPr>
          <w:rFonts w:ascii="Times New Roman" w:hAnsi="Times New Roman" w:cs="Times New Roman"/>
          <w:sz w:val="28"/>
          <w:szCs w:val="28"/>
        </w:rPr>
        <w:t xml:space="preserve"> </w:t>
      </w:r>
      <w:r w:rsidR="009E3E7B">
        <w:rPr>
          <w:rFonts w:ascii="Times New Roman" w:hAnsi="Times New Roman" w:cs="Times New Roman"/>
          <w:sz w:val="28"/>
          <w:szCs w:val="28"/>
        </w:rPr>
        <w:t xml:space="preserve">особенности того, </w:t>
      </w:r>
      <w:r w:rsidRPr="002A530E">
        <w:rPr>
          <w:rFonts w:ascii="Times New Roman" w:hAnsi="Times New Roman" w:cs="Times New Roman"/>
          <w:sz w:val="28"/>
          <w:szCs w:val="28"/>
        </w:rPr>
        <w:t>как одна из ведущих телекоммуникационных компаний признаёт выручку.</w:t>
      </w:r>
    </w:p>
    <w:p w:rsidR="009E3E7B" w:rsidRPr="002A530E" w:rsidRDefault="009E3E7B" w:rsidP="002A530E">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Напомню, что именно выручке уделяется пристальное внимание инвесторов, так как показатели именно по этой статье стоят первыми в Отчёте о прибылях и убытках, играют ключевую роль  практически во всех классических и современных методах инвестиционного анализа,  в том числе при расчёте финансовой стабильности компании. </w:t>
      </w:r>
    </w:p>
    <w:p w:rsidR="002A530E" w:rsidRPr="002A530E" w:rsidRDefault="002A530E" w:rsidP="002A530E">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я уже писала, в</w:t>
      </w:r>
      <w:r w:rsidRPr="002A530E">
        <w:rPr>
          <w:rFonts w:ascii="Times New Roman" w:hAnsi="Times New Roman" w:cs="Times New Roman"/>
          <w:sz w:val="28"/>
          <w:szCs w:val="28"/>
        </w:rPr>
        <w:t xml:space="preserve">ыручка должна измеряться по справедливой стоимости полученного или подлежащего получению возмещения. Сумма выручки, возникающей от операции, обычно определяется договором между </w:t>
      </w:r>
      <w:r>
        <w:rPr>
          <w:rFonts w:ascii="Times New Roman" w:hAnsi="Times New Roman" w:cs="Times New Roman"/>
          <w:sz w:val="28"/>
          <w:szCs w:val="28"/>
        </w:rPr>
        <w:lastRenderedPageBreak/>
        <w:t>компанией</w:t>
      </w:r>
      <w:r w:rsidRPr="002A530E">
        <w:rPr>
          <w:rFonts w:ascii="Times New Roman" w:hAnsi="Times New Roman" w:cs="Times New Roman"/>
          <w:sz w:val="28"/>
          <w:szCs w:val="28"/>
        </w:rPr>
        <w:t xml:space="preserve"> и покупателем. В большинстве случаев возмещение предоставляется в форме денежных средств или эквивалентов денежных средств, а суммой выручки является полученная или подлежащая получению сумма денежных средств или эквивалентов денежных средств.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 xml:space="preserve">Под предоставлением услуг согласно </w:t>
      </w:r>
      <w:r w:rsidR="009E3E7B">
        <w:rPr>
          <w:rFonts w:ascii="Times New Roman" w:hAnsi="Times New Roman" w:cs="Times New Roman"/>
          <w:sz w:val="28"/>
          <w:szCs w:val="28"/>
        </w:rPr>
        <w:t>МСФО</w:t>
      </w:r>
      <w:r w:rsidRPr="002A530E">
        <w:rPr>
          <w:rFonts w:ascii="Times New Roman" w:hAnsi="Times New Roman" w:cs="Times New Roman"/>
          <w:sz w:val="28"/>
          <w:szCs w:val="28"/>
        </w:rPr>
        <w:t xml:space="preserve"> понимается выполнение компанией согласованной контрактом задачи в течение определенного периода времени, а именно предоставление услуг связи.</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 xml:space="preserve">Для целей бухгалтерского учета согласно </w:t>
      </w:r>
      <w:r w:rsidR="009E3E7B">
        <w:rPr>
          <w:rFonts w:ascii="Times New Roman" w:hAnsi="Times New Roman" w:cs="Times New Roman"/>
          <w:sz w:val="28"/>
          <w:szCs w:val="28"/>
        </w:rPr>
        <w:t>МСФО</w:t>
      </w:r>
      <w:r w:rsidRPr="002A530E">
        <w:rPr>
          <w:rFonts w:ascii="Times New Roman" w:hAnsi="Times New Roman" w:cs="Times New Roman"/>
          <w:sz w:val="28"/>
          <w:szCs w:val="28"/>
        </w:rPr>
        <w:t xml:space="preserve"> выручка от реализации предоставленных услуг признается в том периоде, в котором данные услуги предоставлены. При этом если в текущем отчетном периоде предоставление услуг в соответствии с условиями договора не завершено, то выручка признается в объеме фактически оказанных услуг.</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 xml:space="preserve">В учете выручки необходимо убедиться в правильности отнесения выручки к отчетному периоду и наличии оснований для признания выручки (уверенность в будущем поступлении </w:t>
      </w:r>
      <w:r w:rsidR="009E3E7B">
        <w:rPr>
          <w:rFonts w:ascii="Times New Roman" w:hAnsi="Times New Roman" w:cs="Times New Roman"/>
          <w:sz w:val="28"/>
          <w:szCs w:val="28"/>
        </w:rPr>
        <w:t>экономических выгод</w:t>
      </w:r>
      <w:r w:rsidRPr="002A530E">
        <w:rPr>
          <w:rFonts w:ascii="Times New Roman" w:hAnsi="Times New Roman" w:cs="Times New Roman"/>
          <w:sz w:val="28"/>
          <w:szCs w:val="28"/>
        </w:rPr>
        <w:t>). Ошибки в признании и учете выручки влекут существенные искажения в финансовой отчетности.</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 xml:space="preserve">Выручка от продажи товаров должна признаваться, если удовлетворяются все перечисленные ниже условия: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w:t>
      </w:r>
      <w:proofErr w:type="spellStart"/>
      <w:r w:rsidRPr="002A530E">
        <w:rPr>
          <w:rFonts w:ascii="Times New Roman" w:hAnsi="Times New Roman" w:cs="Times New Roman"/>
          <w:sz w:val="28"/>
          <w:szCs w:val="28"/>
        </w:rPr>
        <w:t>a</w:t>
      </w:r>
      <w:proofErr w:type="spellEnd"/>
      <w:r w:rsidRPr="002A530E">
        <w:rPr>
          <w:rFonts w:ascii="Times New Roman" w:hAnsi="Times New Roman" w:cs="Times New Roman"/>
          <w:sz w:val="28"/>
          <w:szCs w:val="28"/>
        </w:rPr>
        <w:t xml:space="preserve">) предприятие передало покупателю значительные риски и вознаграждения, связанные с правом собственности на товары;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w:t>
      </w:r>
      <w:proofErr w:type="spellStart"/>
      <w:r w:rsidRPr="002A530E">
        <w:rPr>
          <w:rFonts w:ascii="Times New Roman" w:hAnsi="Times New Roman" w:cs="Times New Roman"/>
          <w:sz w:val="28"/>
          <w:szCs w:val="28"/>
        </w:rPr>
        <w:t>b</w:t>
      </w:r>
      <w:proofErr w:type="spellEnd"/>
      <w:r w:rsidRPr="002A530E">
        <w:rPr>
          <w:rFonts w:ascii="Times New Roman" w:hAnsi="Times New Roman" w:cs="Times New Roman"/>
          <w:sz w:val="28"/>
          <w:szCs w:val="28"/>
        </w:rPr>
        <w:t xml:space="preserve">) предприятие больше не участвует в управлении в той степени, которая обычно ассоциируется с правом собственности, и не контролирует проданные товары;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w:t>
      </w:r>
      <w:proofErr w:type="spellStart"/>
      <w:r w:rsidRPr="002A530E">
        <w:rPr>
          <w:rFonts w:ascii="Times New Roman" w:hAnsi="Times New Roman" w:cs="Times New Roman"/>
          <w:sz w:val="28"/>
          <w:szCs w:val="28"/>
        </w:rPr>
        <w:t>c</w:t>
      </w:r>
      <w:proofErr w:type="spellEnd"/>
      <w:r w:rsidRPr="002A530E">
        <w:rPr>
          <w:rFonts w:ascii="Times New Roman" w:hAnsi="Times New Roman" w:cs="Times New Roman"/>
          <w:sz w:val="28"/>
          <w:szCs w:val="28"/>
        </w:rPr>
        <w:t xml:space="preserve">) сумма выручки может быть надежно измерена;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lastRenderedPageBreak/>
        <w:t>(</w:t>
      </w:r>
      <w:proofErr w:type="spellStart"/>
      <w:r w:rsidRPr="002A530E">
        <w:rPr>
          <w:rFonts w:ascii="Times New Roman" w:hAnsi="Times New Roman" w:cs="Times New Roman"/>
          <w:sz w:val="28"/>
          <w:szCs w:val="28"/>
        </w:rPr>
        <w:t>d</w:t>
      </w:r>
      <w:proofErr w:type="spellEnd"/>
      <w:r w:rsidRPr="002A530E">
        <w:rPr>
          <w:rFonts w:ascii="Times New Roman" w:hAnsi="Times New Roman" w:cs="Times New Roman"/>
          <w:sz w:val="28"/>
          <w:szCs w:val="28"/>
        </w:rPr>
        <w:t xml:space="preserve">) существует вероятность того, что экономические выгоды, связанные с операцией, поступят на предприятие;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w:t>
      </w:r>
      <w:proofErr w:type="spellStart"/>
      <w:r w:rsidRPr="002A530E">
        <w:rPr>
          <w:rFonts w:ascii="Times New Roman" w:hAnsi="Times New Roman" w:cs="Times New Roman"/>
          <w:sz w:val="28"/>
          <w:szCs w:val="28"/>
        </w:rPr>
        <w:t>e</w:t>
      </w:r>
      <w:proofErr w:type="spellEnd"/>
      <w:r w:rsidRPr="002A530E">
        <w:rPr>
          <w:rFonts w:ascii="Times New Roman" w:hAnsi="Times New Roman" w:cs="Times New Roman"/>
          <w:sz w:val="28"/>
          <w:szCs w:val="28"/>
        </w:rPr>
        <w:t xml:space="preserve">) понесенные или ожидаемые затраты, связанные с операцией, можно надежно измерить.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 xml:space="preserve">Если результат операции, предполагающей предоставление услуг, поддается надежной оценке, выручка от такой операции должна признаваться в соответствии со стадией завершенности операции на конец отчетного периода. Результат операции можно надежно оценить, если выполняются все следующие условия: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w:t>
      </w:r>
      <w:proofErr w:type="spellStart"/>
      <w:r w:rsidRPr="002A530E">
        <w:rPr>
          <w:rFonts w:ascii="Times New Roman" w:hAnsi="Times New Roman" w:cs="Times New Roman"/>
          <w:sz w:val="28"/>
          <w:szCs w:val="28"/>
        </w:rPr>
        <w:t>a</w:t>
      </w:r>
      <w:proofErr w:type="spellEnd"/>
      <w:r w:rsidRPr="002A530E">
        <w:rPr>
          <w:rFonts w:ascii="Times New Roman" w:hAnsi="Times New Roman" w:cs="Times New Roman"/>
          <w:sz w:val="28"/>
          <w:szCs w:val="28"/>
        </w:rPr>
        <w:t xml:space="preserve">) сумма выручки может быть надежно измерена;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w:t>
      </w:r>
      <w:proofErr w:type="spellStart"/>
      <w:r w:rsidRPr="002A530E">
        <w:rPr>
          <w:rFonts w:ascii="Times New Roman" w:hAnsi="Times New Roman" w:cs="Times New Roman"/>
          <w:sz w:val="28"/>
          <w:szCs w:val="28"/>
        </w:rPr>
        <w:t>b</w:t>
      </w:r>
      <w:proofErr w:type="spellEnd"/>
      <w:r w:rsidRPr="002A530E">
        <w:rPr>
          <w:rFonts w:ascii="Times New Roman" w:hAnsi="Times New Roman" w:cs="Times New Roman"/>
          <w:sz w:val="28"/>
          <w:szCs w:val="28"/>
        </w:rPr>
        <w:t xml:space="preserve">) существует вероятность того, что экономические выгоды, связанные с операцией, поступят на предприятие;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w:t>
      </w:r>
      <w:proofErr w:type="spellStart"/>
      <w:r w:rsidRPr="002A530E">
        <w:rPr>
          <w:rFonts w:ascii="Times New Roman" w:hAnsi="Times New Roman" w:cs="Times New Roman"/>
          <w:sz w:val="28"/>
          <w:szCs w:val="28"/>
        </w:rPr>
        <w:t>c</w:t>
      </w:r>
      <w:proofErr w:type="spellEnd"/>
      <w:r w:rsidRPr="002A530E">
        <w:rPr>
          <w:rFonts w:ascii="Times New Roman" w:hAnsi="Times New Roman" w:cs="Times New Roman"/>
          <w:sz w:val="28"/>
          <w:szCs w:val="28"/>
        </w:rPr>
        <w:t xml:space="preserve">) стадия завершенности операции по состоянию на конец отчетного периода может быть надежно измерена;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w:t>
      </w:r>
      <w:proofErr w:type="spellStart"/>
      <w:r w:rsidRPr="002A530E">
        <w:rPr>
          <w:rFonts w:ascii="Times New Roman" w:hAnsi="Times New Roman" w:cs="Times New Roman"/>
          <w:sz w:val="28"/>
          <w:szCs w:val="28"/>
        </w:rPr>
        <w:t>d</w:t>
      </w:r>
      <w:proofErr w:type="spellEnd"/>
      <w:r w:rsidRPr="002A530E">
        <w:rPr>
          <w:rFonts w:ascii="Times New Roman" w:hAnsi="Times New Roman" w:cs="Times New Roman"/>
          <w:sz w:val="28"/>
          <w:szCs w:val="28"/>
        </w:rPr>
        <w:t xml:space="preserve">) затраты, понесенные при выполнении операции, и затраты, необходимые для ее завершения, могут быть надёжно измерены. </w:t>
      </w:r>
    </w:p>
    <w:p w:rsidR="002A530E" w:rsidRPr="002A530E" w:rsidRDefault="002A530E" w:rsidP="002A530E">
      <w:pPr>
        <w:spacing w:before="240"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Для целей формиро</w:t>
      </w:r>
      <w:r w:rsidR="009E3E7B">
        <w:rPr>
          <w:rFonts w:ascii="Times New Roman" w:hAnsi="Times New Roman" w:cs="Times New Roman"/>
          <w:sz w:val="28"/>
          <w:szCs w:val="28"/>
        </w:rPr>
        <w:t xml:space="preserve">вания финансовой отчетности по МСФО </w:t>
      </w:r>
      <w:r w:rsidRPr="002A530E">
        <w:rPr>
          <w:rFonts w:ascii="Times New Roman" w:hAnsi="Times New Roman" w:cs="Times New Roman"/>
          <w:sz w:val="28"/>
          <w:szCs w:val="28"/>
        </w:rPr>
        <w:t xml:space="preserve">выручка </w:t>
      </w:r>
      <w:r w:rsidR="009E3E7B">
        <w:rPr>
          <w:rFonts w:ascii="Times New Roman" w:hAnsi="Times New Roman" w:cs="Times New Roman"/>
          <w:sz w:val="28"/>
          <w:szCs w:val="28"/>
        </w:rPr>
        <w:t>подразделяется на следующие составляющие</w:t>
      </w:r>
      <w:r w:rsidRPr="002A530E">
        <w:rPr>
          <w:rFonts w:ascii="Times New Roman" w:hAnsi="Times New Roman" w:cs="Times New Roman"/>
          <w:sz w:val="28"/>
          <w:szCs w:val="28"/>
        </w:rPr>
        <w:t>:</w:t>
      </w:r>
    </w:p>
    <w:p w:rsidR="002A530E" w:rsidRPr="002A530E" w:rsidRDefault="002A530E" w:rsidP="002A530E">
      <w:pPr>
        <w:pStyle w:val="a3"/>
        <w:numPr>
          <w:ilvl w:val="0"/>
          <w:numId w:val="21"/>
        </w:numPr>
        <w:spacing w:before="240" w:line="360" w:lineRule="auto"/>
        <w:ind w:left="0" w:firstLine="851"/>
        <w:jc w:val="both"/>
        <w:rPr>
          <w:rFonts w:ascii="Times New Roman" w:hAnsi="Times New Roman" w:cs="Times New Roman"/>
          <w:sz w:val="28"/>
          <w:szCs w:val="28"/>
        </w:rPr>
      </w:pPr>
      <w:r w:rsidRPr="002A530E">
        <w:rPr>
          <w:rFonts w:ascii="Times New Roman" w:hAnsi="Times New Roman" w:cs="Times New Roman"/>
          <w:sz w:val="28"/>
          <w:szCs w:val="28"/>
        </w:rPr>
        <w:t>Операционная выручка от реализации услуг связи («</w:t>
      </w:r>
      <w:proofErr w:type="spellStart"/>
      <w:r w:rsidRPr="002A530E">
        <w:rPr>
          <w:rFonts w:ascii="Times New Roman" w:hAnsi="Times New Roman" w:cs="Times New Roman"/>
          <w:sz w:val="28"/>
          <w:szCs w:val="28"/>
        </w:rPr>
        <w:t>Service</w:t>
      </w:r>
      <w:proofErr w:type="spellEnd"/>
      <w:r w:rsidRPr="002A530E">
        <w:rPr>
          <w:rFonts w:ascii="Times New Roman" w:hAnsi="Times New Roman" w:cs="Times New Roman"/>
          <w:sz w:val="28"/>
          <w:szCs w:val="28"/>
        </w:rPr>
        <w:t xml:space="preserve"> </w:t>
      </w:r>
      <w:proofErr w:type="spellStart"/>
      <w:r w:rsidRPr="002A530E">
        <w:rPr>
          <w:rFonts w:ascii="Times New Roman" w:hAnsi="Times New Roman" w:cs="Times New Roman"/>
          <w:sz w:val="28"/>
          <w:szCs w:val="28"/>
        </w:rPr>
        <w:t>revenue</w:t>
      </w:r>
      <w:proofErr w:type="spellEnd"/>
      <w:r w:rsidRPr="002A530E">
        <w:rPr>
          <w:rFonts w:ascii="Times New Roman" w:hAnsi="Times New Roman" w:cs="Times New Roman"/>
          <w:sz w:val="28"/>
          <w:szCs w:val="28"/>
        </w:rPr>
        <w:t>»).</w:t>
      </w:r>
    </w:p>
    <w:p w:rsidR="002A530E" w:rsidRPr="002A530E" w:rsidRDefault="002A530E" w:rsidP="002A530E">
      <w:pPr>
        <w:pStyle w:val="a3"/>
        <w:numPr>
          <w:ilvl w:val="0"/>
          <w:numId w:val="21"/>
        </w:numPr>
        <w:spacing w:before="240" w:line="360" w:lineRule="auto"/>
        <w:ind w:left="0" w:firstLine="851"/>
        <w:jc w:val="both"/>
        <w:rPr>
          <w:rFonts w:ascii="Times New Roman" w:hAnsi="Times New Roman" w:cs="Times New Roman"/>
          <w:sz w:val="28"/>
          <w:szCs w:val="28"/>
        </w:rPr>
      </w:pPr>
      <w:r w:rsidRPr="002A530E">
        <w:rPr>
          <w:rFonts w:ascii="Times New Roman" w:hAnsi="Times New Roman" w:cs="Times New Roman"/>
          <w:sz w:val="28"/>
          <w:szCs w:val="28"/>
        </w:rPr>
        <w:t>Операционные доходы от продажи оборудования («</w:t>
      </w:r>
      <w:proofErr w:type="spellStart"/>
      <w:r w:rsidRPr="002A530E">
        <w:rPr>
          <w:rFonts w:ascii="Times New Roman" w:hAnsi="Times New Roman" w:cs="Times New Roman"/>
          <w:sz w:val="28"/>
          <w:szCs w:val="28"/>
        </w:rPr>
        <w:t>Sales</w:t>
      </w:r>
      <w:proofErr w:type="spellEnd"/>
      <w:r w:rsidRPr="002A530E">
        <w:rPr>
          <w:rFonts w:ascii="Times New Roman" w:hAnsi="Times New Roman" w:cs="Times New Roman"/>
          <w:sz w:val="28"/>
          <w:szCs w:val="28"/>
        </w:rPr>
        <w:t xml:space="preserve"> </w:t>
      </w:r>
      <w:proofErr w:type="spellStart"/>
      <w:r w:rsidRPr="002A530E">
        <w:rPr>
          <w:rFonts w:ascii="Times New Roman" w:hAnsi="Times New Roman" w:cs="Times New Roman"/>
          <w:sz w:val="28"/>
          <w:szCs w:val="28"/>
        </w:rPr>
        <w:t>of</w:t>
      </w:r>
      <w:proofErr w:type="spellEnd"/>
      <w:r w:rsidRPr="002A530E">
        <w:rPr>
          <w:rFonts w:ascii="Times New Roman" w:hAnsi="Times New Roman" w:cs="Times New Roman"/>
          <w:sz w:val="28"/>
          <w:szCs w:val="28"/>
        </w:rPr>
        <w:t xml:space="preserve"> </w:t>
      </w:r>
      <w:proofErr w:type="spellStart"/>
      <w:r w:rsidRPr="002A530E">
        <w:rPr>
          <w:rFonts w:ascii="Times New Roman" w:hAnsi="Times New Roman" w:cs="Times New Roman"/>
          <w:sz w:val="28"/>
          <w:szCs w:val="28"/>
        </w:rPr>
        <w:t>handsets</w:t>
      </w:r>
      <w:proofErr w:type="spellEnd"/>
      <w:r w:rsidRPr="002A530E">
        <w:rPr>
          <w:rFonts w:ascii="Times New Roman" w:hAnsi="Times New Roman" w:cs="Times New Roman"/>
          <w:sz w:val="28"/>
          <w:szCs w:val="28"/>
        </w:rPr>
        <w:t xml:space="preserve"> </w:t>
      </w:r>
      <w:proofErr w:type="spellStart"/>
      <w:r w:rsidRPr="002A530E">
        <w:rPr>
          <w:rFonts w:ascii="Times New Roman" w:hAnsi="Times New Roman" w:cs="Times New Roman"/>
          <w:sz w:val="28"/>
          <w:szCs w:val="28"/>
        </w:rPr>
        <w:t>and</w:t>
      </w:r>
      <w:proofErr w:type="spellEnd"/>
      <w:r w:rsidRPr="002A530E">
        <w:rPr>
          <w:rFonts w:ascii="Times New Roman" w:hAnsi="Times New Roman" w:cs="Times New Roman"/>
          <w:sz w:val="28"/>
          <w:szCs w:val="28"/>
        </w:rPr>
        <w:t xml:space="preserve"> </w:t>
      </w:r>
      <w:proofErr w:type="spellStart"/>
      <w:r w:rsidRPr="002A530E">
        <w:rPr>
          <w:rFonts w:ascii="Times New Roman" w:hAnsi="Times New Roman" w:cs="Times New Roman"/>
          <w:sz w:val="28"/>
          <w:szCs w:val="28"/>
        </w:rPr>
        <w:t>accessories</w:t>
      </w:r>
      <w:proofErr w:type="spellEnd"/>
      <w:r w:rsidRPr="002A530E">
        <w:rPr>
          <w:rFonts w:ascii="Times New Roman" w:hAnsi="Times New Roman" w:cs="Times New Roman"/>
          <w:sz w:val="28"/>
          <w:szCs w:val="28"/>
        </w:rPr>
        <w:t>»).</w:t>
      </w:r>
    </w:p>
    <w:p w:rsidR="002A530E" w:rsidRPr="002A530E" w:rsidRDefault="002A530E" w:rsidP="002A530E">
      <w:pPr>
        <w:pStyle w:val="a3"/>
        <w:numPr>
          <w:ilvl w:val="0"/>
          <w:numId w:val="21"/>
        </w:numPr>
        <w:spacing w:before="240" w:line="360" w:lineRule="auto"/>
        <w:ind w:left="0" w:firstLine="851"/>
        <w:jc w:val="both"/>
        <w:rPr>
          <w:rFonts w:ascii="Times New Roman" w:hAnsi="Times New Roman" w:cs="Times New Roman"/>
          <w:sz w:val="28"/>
          <w:szCs w:val="28"/>
        </w:rPr>
      </w:pPr>
      <w:r w:rsidRPr="002A530E">
        <w:rPr>
          <w:rFonts w:ascii="Times New Roman" w:hAnsi="Times New Roman" w:cs="Times New Roman"/>
          <w:sz w:val="28"/>
          <w:szCs w:val="28"/>
        </w:rPr>
        <w:t>Прочая операционная выручка («</w:t>
      </w:r>
      <w:proofErr w:type="spellStart"/>
      <w:r w:rsidRPr="002A530E">
        <w:rPr>
          <w:rFonts w:ascii="Times New Roman" w:hAnsi="Times New Roman" w:cs="Times New Roman"/>
          <w:sz w:val="28"/>
          <w:szCs w:val="28"/>
        </w:rPr>
        <w:t>Other</w:t>
      </w:r>
      <w:proofErr w:type="spellEnd"/>
      <w:r w:rsidRPr="002A530E">
        <w:rPr>
          <w:rFonts w:ascii="Times New Roman" w:hAnsi="Times New Roman" w:cs="Times New Roman"/>
          <w:sz w:val="28"/>
          <w:szCs w:val="28"/>
        </w:rPr>
        <w:t xml:space="preserve"> </w:t>
      </w:r>
      <w:proofErr w:type="spellStart"/>
      <w:r w:rsidRPr="002A530E">
        <w:rPr>
          <w:rFonts w:ascii="Times New Roman" w:hAnsi="Times New Roman" w:cs="Times New Roman"/>
          <w:sz w:val="28"/>
          <w:szCs w:val="28"/>
        </w:rPr>
        <w:t>revenue</w:t>
      </w:r>
      <w:proofErr w:type="spellEnd"/>
      <w:r w:rsidRPr="002A530E">
        <w:rPr>
          <w:rFonts w:ascii="Times New Roman" w:hAnsi="Times New Roman" w:cs="Times New Roman"/>
          <w:sz w:val="28"/>
          <w:szCs w:val="28"/>
        </w:rPr>
        <w:t>»)</w:t>
      </w:r>
    </w:p>
    <w:p w:rsidR="002A530E" w:rsidRDefault="002A530E" w:rsidP="002A530E">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Признание </w:t>
      </w:r>
      <w:r w:rsidRPr="002A530E">
        <w:rPr>
          <w:rFonts w:ascii="Times New Roman" w:hAnsi="Times New Roman" w:cs="Times New Roman"/>
          <w:sz w:val="28"/>
          <w:szCs w:val="28"/>
        </w:rPr>
        <w:t xml:space="preserve">Service revenue </w:t>
      </w:r>
      <w:r>
        <w:rPr>
          <w:rFonts w:ascii="Times New Roman" w:hAnsi="Times New Roman" w:cs="Times New Roman"/>
          <w:sz w:val="28"/>
          <w:szCs w:val="28"/>
        </w:rPr>
        <w:t>я рассмотрю на примере выручки</w:t>
      </w:r>
      <w:r w:rsidRPr="002A530E">
        <w:rPr>
          <w:rFonts w:ascii="Times New Roman" w:hAnsi="Times New Roman" w:cs="Times New Roman"/>
          <w:sz w:val="28"/>
          <w:szCs w:val="28"/>
        </w:rPr>
        <w:t xml:space="preserve"> от </w:t>
      </w:r>
      <w:r w:rsidR="009E3E7B">
        <w:rPr>
          <w:rFonts w:ascii="Times New Roman" w:hAnsi="Times New Roman" w:cs="Times New Roman"/>
          <w:sz w:val="28"/>
          <w:szCs w:val="28"/>
        </w:rPr>
        <w:t xml:space="preserve">услуг связи </w:t>
      </w:r>
      <w:r w:rsidRPr="002A530E">
        <w:rPr>
          <w:rFonts w:ascii="Times New Roman" w:hAnsi="Times New Roman" w:cs="Times New Roman"/>
          <w:sz w:val="28"/>
          <w:szCs w:val="28"/>
        </w:rPr>
        <w:t>по предоплате (</w:t>
      </w:r>
      <w:proofErr w:type="spellStart"/>
      <w:r w:rsidRPr="002A530E">
        <w:rPr>
          <w:rFonts w:ascii="Times New Roman" w:hAnsi="Times New Roman" w:cs="Times New Roman"/>
          <w:sz w:val="28"/>
          <w:szCs w:val="28"/>
        </w:rPr>
        <w:t>pre-paid</w:t>
      </w:r>
      <w:proofErr w:type="spellEnd"/>
      <w:r w:rsidRPr="002A530E">
        <w:rPr>
          <w:rFonts w:ascii="Times New Roman" w:hAnsi="Times New Roman" w:cs="Times New Roman"/>
          <w:sz w:val="28"/>
          <w:szCs w:val="28"/>
        </w:rPr>
        <w:t>)</w:t>
      </w:r>
      <w:r>
        <w:rPr>
          <w:rFonts w:ascii="Times New Roman" w:hAnsi="Times New Roman" w:cs="Times New Roman"/>
          <w:sz w:val="28"/>
          <w:szCs w:val="28"/>
        </w:rPr>
        <w:t>:</w:t>
      </w:r>
    </w:p>
    <w:p w:rsidR="002A530E" w:rsidRPr="002A530E" w:rsidRDefault="002A530E" w:rsidP="002A530E">
      <w:pPr>
        <w:spacing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lastRenderedPageBreak/>
        <w:t xml:space="preserve">Выручка от </w:t>
      </w:r>
      <w:r w:rsidR="009E3E7B">
        <w:rPr>
          <w:rFonts w:ascii="Times New Roman" w:hAnsi="Times New Roman" w:cs="Times New Roman"/>
          <w:sz w:val="28"/>
          <w:szCs w:val="28"/>
        </w:rPr>
        <w:t>услуг связи, оплаченных авансом,</w:t>
      </w:r>
      <w:r w:rsidRPr="002A530E">
        <w:rPr>
          <w:rFonts w:ascii="Times New Roman" w:hAnsi="Times New Roman" w:cs="Times New Roman"/>
          <w:sz w:val="28"/>
          <w:szCs w:val="28"/>
        </w:rPr>
        <w:t xml:space="preserve"> отражается согласно </w:t>
      </w:r>
      <w:r w:rsidR="009E3E7B">
        <w:rPr>
          <w:rFonts w:ascii="Times New Roman" w:hAnsi="Times New Roman" w:cs="Times New Roman"/>
          <w:sz w:val="28"/>
          <w:szCs w:val="28"/>
        </w:rPr>
        <w:t xml:space="preserve">МСФО </w:t>
      </w:r>
      <w:r w:rsidRPr="002A530E">
        <w:rPr>
          <w:rFonts w:ascii="Times New Roman" w:hAnsi="Times New Roman" w:cs="Times New Roman"/>
          <w:sz w:val="28"/>
          <w:szCs w:val="28"/>
        </w:rPr>
        <w:t xml:space="preserve">как авансы полученные (кредиторская задолженность) и списываются в доходы по мере потребления </w:t>
      </w:r>
      <w:r w:rsidR="009E3E7B">
        <w:rPr>
          <w:rFonts w:ascii="Times New Roman" w:hAnsi="Times New Roman" w:cs="Times New Roman"/>
          <w:sz w:val="28"/>
          <w:szCs w:val="28"/>
        </w:rPr>
        <w:t>данных услуг</w:t>
      </w:r>
      <w:r w:rsidRPr="002A530E">
        <w:rPr>
          <w:rFonts w:ascii="Times New Roman" w:hAnsi="Times New Roman" w:cs="Times New Roman"/>
          <w:sz w:val="28"/>
          <w:szCs w:val="28"/>
        </w:rPr>
        <w:t xml:space="preserve"> абонентами на сумму авансов.</w:t>
      </w:r>
    </w:p>
    <w:p w:rsidR="002A530E" w:rsidRPr="002A530E" w:rsidRDefault="002A530E" w:rsidP="002A530E">
      <w:pPr>
        <w:spacing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 xml:space="preserve">Если в локальном учете </w:t>
      </w:r>
      <w:r w:rsidR="009E3E7B">
        <w:rPr>
          <w:rFonts w:ascii="Times New Roman" w:hAnsi="Times New Roman" w:cs="Times New Roman"/>
          <w:sz w:val="28"/>
          <w:szCs w:val="28"/>
        </w:rPr>
        <w:t xml:space="preserve">(РСБУ) </w:t>
      </w:r>
      <w:r w:rsidRPr="002A530E">
        <w:rPr>
          <w:rFonts w:ascii="Times New Roman" w:hAnsi="Times New Roman" w:cs="Times New Roman"/>
          <w:sz w:val="28"/>
          <w:szCs w:val="28"/>
        </w:rPr>
        <w:t xml:space="preserve">выручка признается в момент получения предоплаты, то для целей составления отчетности по </w:t>
      </w:r>
      <w:r w:rsidR="009E3E7B">
        <w:rPr>
          <w:rFonts w:ascii="Times New Roman" w:hAnsi="Times New Roman" w:cs="Times New Roman"/>
          <w:sz w:val="28"/>
          <w:szCs w:val="28"/>
        </w:rPr>
        <w:t>МСФО</w:t>
      </w:r>
      <w:r w:rsidRPr="002A530E">
        <w:rPr>
          <w:rFonts w:ascii="Times New Roman" w:hAnsi="Times New Roman" w:cs="Times New Roman"/>
          <w:sz w:val="28"/>
          <w:szCs w:val="28"/>
        </w:rPr>
        <w:t xml:space="preserve"> производятся сторнирующие (реверсные) проводки:</w:t>
      </w:r>
    </w:p>
    <w:p w:rsidR="002A530E" w:rsidRPr="009E3E7B" w:rsidRDefault="009E3E7B" w:rsidP="009E3E7B">
      <w:pPr>
        <w:tabs>
          <w:tab w:val="left" w:pos="4860"/>
        </w:tabs>
        <w:jc w:val="both"/>
        <w:rPr>
          <w:rFonts w:ascii="Arial" w:hAnsi="Arial" w:cs="Arial"/>
          <w:i/>
        </w:rPr>
      </w:pPr>
      <w:r>
        <w:rPr>
          <w:rFonts w:ascii="Arial" w:hAnsi="Arial" w:cs="Arial"/>
          <w:i/>
        </w:rPr>
        <w:t>Дт</w:t>
      </w:r>
      <w:r w:rsidR="002A530E" w:rsidRPr="00685B4A">
        <w:rPr>
          <w:rFonts w:ascii="Arial" w:hAnsi="Arial" w:cs="Arial"/>
          <w:i/>
        </w:rPr>
        <w:t xml:space="preserve"> </w:t>
      </w:r>
      <w:proofErr w:type="spellStart"/>
      <w:r w:rsidR="002A530E" w:rsidRPr="00685B4A">
        <w:rPr>
          <w:rFonts w:ascii="Arial" w:hAnsi="Arial" w:cs="Arial"/>
          <w:i/>
        </w:rPr>
        <w:t>Service</w:t>
      </w:r>
      <w:proofErr w:type="spellEnd"/>
      <w:r w:rsidR="002A530E" w:rsidRPr="00685B4A">
        <w:rPr>
          <w:rFonts w:ascii="Arial" w:hAnsi="Arial" w:cs="Arial"/>
          <w:i/>
        </w:rPr>
        <w:t xml:space="preserve"> </w:t>
      </w:r>
      <w:proofErr w:type="spellStart"/>
      <w:r w:rsidR="002A530E" w:rsidRPr="00685B4A">
        <w:rPr>
          <w:rFonts w:ascii="Arial" w:hAnsi="Arial" w:cs="Arial"/>
          <w:i/>
        </w:rPr>
        <w:t>revenue</w:t>
      </w:r>
      <w:proofErr w:type="spellEnd"/>
      <w:r w:rsidR="002A530E" w:rsidRPr="00685B4A">
        <w:rPr>
          <w:rFonts w:ascii="Arial" w:hAnsi="Arial" w:cs="Arial"/>
          <w:i/>
        </w:rPr>
        <w:tab/>
        <w:t xml:space="preserve">на сумму доходов от </w:t>
      </w:r>
      <w:proofErr w:type="spellStart"/>
      <w:r w:rsidR="002A530E" w:rsidRPr="00685B4A">
        <w:rPr>
          <w:rFonts w:ascii="Arial" w:hAnsi="Arial" w:cs="Arial"/>
          <w:i/>
        </w:rPr>
        <w:t>абон</w:t>
      </w:r>
      <w:r>
        <w:rPr>
          <w:rFonts w:ascii="Arial" w:hAnsi="Arial" w:cs="Arial"/>
          <w:i/>
        </w:rPr>
        <w:t>тов</w:t>
      </w:r>
      <w:proofErr w:type="spellEnd"/>
      <w:r>
        <w:rPr>
          <w:rFonts w:ascii="Arial" w:hAnsi="Arial" w:cs="Arial"/>
          <w:i/>
        </w:rPr>
        <w:t xml:space="preserve"> </w:t>
      </w:r>
      <w:r w:rsidR="002A530E" w:rsidRPr="00685B4A">
        <w:rPr>
          <w:rFonts w:ascii="Arial" w:hAnsi="Arial" w:cs="Arial"/>
          <w:i/>
          <w:lang w:val="en-US"/>
        </w:rPr>
        <w:t>pre</w:t>
      </w:r>
      <w:r w:rsidR="002A530E" w:rsidRPr="009E3E7B">
        <w:rPr>
          <w:rFonts w:ascii="Arial" w:hAnsi="Arial" w:cs="Arial"/>
          <w:i/>
        </w:rPr>
        <w:t>-</w:t>
      </w:r>
      <w:r w:rsidR="002A530E" w:rsidRPr="00685B4A">
        <w:rPr>
          <w:rFonts w:ascii="Arial" w:hAnsi="Arial" w:cs="Arial"/>
          <w:i/>
          <w:lang w:val="en-US"/>
        </w:rPr>
        <w:t>paid</w:t>
      </w:r>
      <w:r w:rsidR="002A530E" w:rsidRPr="009E3E7B">
        <w:rPr>
          <w:rFonts w:ascii="Arial" w:hAnsi="Arial" w:cs="Arial"/>
          <w:i/>
        </w:rPr>
        <w:t xml:space="preserve">, </w:t>
      </w:r>
      <w:r w:rsidR="002A530E" w:rsidRPr="00685B4A">
        <w:rPr>
          <w:rFonts w:ascii="Arial" w:hAnsi="Arial" w:cs="Arial"/>
          <w:i/>
        </w:rPr>
        <w:t>отраженную</w:t>
      </w:r>
      <w:r w:rsidR="002A530E" w:rsidRPr="009E3E7B">
        <w:rPr>
          <w:rFonts w:ascii="Arial" w:hAnsi="Arial" w:cs="Arial"/>
          <w:i/>
        </w:rPr>
        <w:t xml:space="preserve"> </w:t>
      </w:r>
      <w:r w:rsidR="002A530E" w:rsidRPr="00685B4A">
        <w:rPr>
          <w:rFonts w:ascii="Arial" w:hAnsi="Arial" w:cs="Arial"/>
          <w:i/>
        </w:rPr>
        <w:t>в</w:t>
      </w:r>
      <w:r w:rsidR="002A530E" w:rsidRPr="009E3E7B">
        <w:rPr>
          <w:rFonts w:ascii="Arial" w:hAnsi="Arial" w:cs="Arial"/>
          <w:i/>
        </w:rPr>
        <w:t xml:space="preserve"> </w:t>
      </w:r>
      <w:r w:rsidR="002A530E" w:rsidRPr="00685B4A">
        <w:rPr>
          <w:rFonts w:ascii="Arial" w:hAnsi="Arial" w:cs="Arial"/>
          <w:i/>
        </w:rPr>
        <w:t>локальном</w:t>
      </w:r>
      <w:r w:rsidR="002A530E" w:rsidRPr="009E3E7B">
        <w:rPr>
          <w:rFonts w:ascii="Arial" w:hAnsi="Arial" w:cs="Arial"/>
          <w:i/>
        </w:rPr>
        <w:t xml:space="preserve"> </w:t>
      </w:r>
      <w:r w:rsidR="002A530E" w:rsidRPr="00685B4A">
        <w:rPr>
          <w:rFonts w:ascii="Arial" w:hAnsi="Arial" w:cs="Arial"/>
          <w:i/>
        </w:rPr>
        <w:t>учете</w:t>
      </w:r>
    </w:p>
    <w:p w:rsidR="002A530E" w:rsidRPr="002A530E" w:rsidRDefault="002A530E" w:rsidP="002A530E">
      <w:pPr>
        <w:spacing w:line="360" w:lineRule="auto"/>
        <w:ind w:firstLine="567"/>
        <w:jc w:val="both"/>
        <w:rPr>
          <w:rFonts w:ascii="Times New Roman" w:hAnsi="Times New Roman" w:cs="Times New Roman"/>
          <w:sz w:val="28"/>
          <w:szCs w:val="28"/>
        </w:rPr>
      </w:pPr>
      <w:r w:rsidRPr="002A530E">
        <w:rPr>
          <w:rFonts w:ascii="Times New Roman" w:hAnsi="Times New Roman" w:cs="Times New Roman"/>
          <w:sz w:val="28"/>
          <w:szCs w:val="28"/>
        </w:rPr>
        <w:t>На сумму фактически оказанных за отчетный период услуг связи производится запись:</w:t>
      </w:r>
    </w:p>
    <w:p w:rsidR="002A530E" w:rsidRPr="00685B4A" w:rsidRDefault="009E3E7B" w:rsidP="002A530E">
      <w:pPr>
        <w:tabs>
          <w:tab w:val="left" w:pos="6120"/>
        </w:tabs>
        <w:jc w:val="both"/>
        <w:rPr>
          <w:rFonts w:ascii="Arial" w:hAnsi="Arial" w:cs="Arial"/>
        </w:rPr>
      </w:pPr>
      <w:r>
        <w:rPr>
          <w:rFonts w:ascii="Arial" w:hAnsi="Arial" w:cs="Arial"/>
        </w:rPr>
        <w:t>Дт</w:t>
      </w:r>
      <w:r w:rsidR="002A530E" w:rsidRPr="00685B4A">
        <w:rPr>
          <w:rFonts w:ascii="Arial" w:hAnsi="Arial" w:cs="Arial"/>
        </w:rPr>
        <w:t xml:space="preserve"> </w:t>
      </w:r>
      <w:proofErr w:type="spellStart"/>
      <w:r w:rsidR="002A530E" w:rsidRPr="00685B4A">
        <w:rPr>
          <w:rFonts w:ascii="Arial" w:hAnsi="Arial" w:cs="Arial"/>
        </w:rPr>
        <w:t>Customer</w:t>
      </w:r>
      <w:proofErr w:type="spellEnd"/>
      <w:r w:rsidR="002A530E" w:rsidRPr="00685B4A">
        <w:rPr>
          <w:rFonts w:ascii="Arial" w:hAnsi="Arial" w:cs="Arial"/>
        </w:rPr>
        <w:t xml:space="preserve"> </w:t>
      </w:r>
      <w:proofErr w:type="spellStart"/>
      <w:r w:rsidR="002A530E" w:rsidRPr="00685B4A">
        <w:rPr>
          <w:rFonts w:ascii="Arial" w:hAnsi="Arial" w:cs="Arial"/>
        </w:rPr>
        <w:t>advances</w:t>
      </w:r>
      <w:proofErr w:type="spellEnd"/>
      <w:r w:rsidR="002A530E" w:rsidRPr="00685B4A">
        <w:rPr>
          <w:rFonts w:ascii="Arial" w:hAnsi="Arial" w:cs="Arial"/>
        </w:rPr>
        <w:tab/>
        <w:t xml:space="preserve">на сумму выручки по трафику </w:t>
      </w:r>
    </w:p>
    <w:p w:rsidR="002A530E" w:rsidRPr="009E3E7B" w:rsidRDefault="009E3E7B" w:rsidP="002A530E">
      <w:pPr>
        <w:tabs>
          <w:tab w:val="left" w:pos="6120"/>
        </w:tabs>
        <w:jc w:val="both"/>
        <w:rPr>
          <w:rFonts w:ascii="Arial" w:hAnsi="Arial" w:cs="Arial"/>
          <w:lang w:val="en-US"/>
        </w:rPr>
      </w:pPr>
      <w:r>
        <w:rPr>
          <w:rFonts w:ascii="Arial" w:hAnsi="Arial" w:cs="Arial"/>
        </w:rPr>
        <w:t>Кт</w:t>
      </w:r>
      <w:r w:rsidR="002A530E" w:rsidRPr="009E3E7B">
        <w:rPr>
          <w:rFonts w:ascii="Arial" w:hAnsi="Arial" w:cs="Arial"/>
          <w:lang w:val="en-US"/>
        </w:rPr>
        <w:t xml:space="preserve"> Service revenue</w:t>
      </w:r>
      <w:r w:rsidR="002A530E" w:rsidRPr="009E3E7B">
        <w:rPr>
          <w:rFonts w:ascii="Arial" w:hAnsi="Arial" w:cs="Arial"/>
          <w:lang w:val="en-US"/>
        </w:rPr>
        <w:tab/>
      </w:r>
      <w:r w:rsidR="002A530E" w:rsidRPr="00685B4A">
        <w:rPr>
          <w:rFonts w:ascii="Arial" w:hAnsi="Arial" w:cs="Arial"/>
        </w:rPr>
        <w:t>за</w:t>
      </w:r>
      <w:r w:rsidR="002A530E" w:rsidRPr="009E3E7B">
        <w:rPr>
          <w:rFonts w:ascii="Arial" w:hAnsi="Arial" w:cs="Arial"/>
          <w:lang w:val="en-US"/>
        </w:rPr>
        <w:t xml:space="preserve"> </w:t>
      </w:r>
      <w:r w:rsidR="002A530E" w:rsidRPr="00685B4A">
        <w:rPr>
          <w:rFonts w:ascii="Arial" w:hAnsi="Arial" w:cs="Arial"/>
        </w:rPr>
        <w:t>месяц</w:t>
      </w:r>
    </w:p>
    <w:p w:rsidR="002A530E" w:rsidRPr="009E3E7B" w:rsidRDefault="002A530E" w:rsidP="002A530E">
      <w:pPr>
        <w:tabs>
          <w:tab w:val="left" w:pos="6120"/>
        </w:tabs>
        <w:jc w:val="both"/>
        <w:rPr>
          <w:rFonts w:ascii="Arial" w:hAnsi="Arial" w:cs="Arial"/>
          <w:lang w:val="en-US"/>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9"/>
      </w:tblGrid>
      <w:tr w:rsidR="002A530E" w:rsidRPr="00C90C1D" w:rsidTr="00C90C1D">
        <w:trPr>
          <w:trHeight w:val="2238"/>
        </w:trPr>
        <w:tc>
          <w:tcPr>
            <w:tcW w:w="10069" w:type="dxa"/>
          </w:tcPr>
          <w:p w:rsidR="002A530E" w:rsidRPr="00685B4A" w:rsidRDefault="002A530E" w:rsidP="00C90C1D">
            <w:pPr>
              <w:jc w:val="both"/>
              <w:rPr>
                <w:rFonts w:ascii="Arial" w:hAnsi="Arial" w:cs="Arial"/>
                <w:b/>
                <w:i/>
              </w:rPr>
            </w:pPr>
            <w:r w:rsidRPr="00685B4A">
              <w:rPr>
                <w:rFonts w:ascii="Arial" w:hAnsi="Arial" w:cs="Arial"/>
                <w:b/>
                <w:i/>
              </w:rPr>
              <w:t>Пример</w:t>
            </w:r>
          </w:p>
          <w:p w:rsidR="002A530E" w:rsidRPr="00685B4A" w:rsidRDefault="002A530E" w:rsidP="00C90C1D">
            <w:pPr>
              <w:jc w:val="both"/>
              <w:rPr>
                <w:rFonts w:ascii="Arial" w:hAnsi="Arial" w:cs="Arial"/>
                <w:i/>
              </w:rPr>
            </w:pPr>
            <w:r w:rsidRPr="00685B4A">
              <w:rPr>
                <w:rFonts w:ascii="Arial" w:hAnsi="Arial" w:cs="Arial"/>
                <w:i/>
              </w:rPr>
              <w:t xml:space="preserve">Абонент внес предоплату в размере $100. В текущем месяце абоненту было оказано услуг связи на $50. В бухгалтерском учете в соответствии с </w:t>
            </w:r>
            <w:r w:rsidR="009E3E7B">
              <w:rPr>
                <w:rFonts w:ascii="Arial" w:hAnsi="Arial" w:cs="Arial"/>
                <w:i/>
              </w:rPr>
              <w:t>МСФО</w:t>
            </w:r>
            <w:r w:rsidRPr="00685B4A">
              <w:rPr>
                <w:rFonts w:ascii="Arial" w:hAnsi="Arial" w:cs="Arial"/>
                <w:i/>
              </w:rPr>
              <w:t xml:space="preserve"> должны быть произведены следующие проводки:</w:t>
            </w:r>
          </w:p>
          <w:p w:rsidR="002A530E" w:rsidRPr="00685B4A" w:rsidRDefault="002A530E" w:rsidP="00C90C1D">
            <w:pPr>
              <w:tabs>
                <w:tab w:val="left" w:pos="4572"/>
              </w:tabs>
              <w:jc w:val="both"/>
              <w:rPr>
                <w:rFonts w:ascii="Arial" w:hAnsi="Arial" w:cs="Arial"/>
                <w:i/>
                <w:lang w:val="en-US"/>
              </w:rPr>
            </w:pPr>
            <w:r w:rsidRPr="00685B4A">
              <w:rPr>
                <w:rFonts w:ascii="Arial" w:hAnsi="Arial" w:cs="Arial"/>
                <w:i/>
                <w:lang w:val="en-US"/>
              </w:rPr>
              <w:t>Dr Cash</w:t>
            </w:r>
            <w:r w:rsidRPr="00685B4A">
              <w:rPr>
                <w:rFonts w:ascii="Arial" w:hAnsi="Arial" w:cs="Arial"/>
                <w:i/>
                <w:lang w:val="en-US"/>
              </w:rPr>
              <w:tab/>
              <w:t>$100</w:t>
            </w:r>
          </w:p>
          <w:p w:rsidR="002A530E" w:rsidRPr="00685B4A" w:rsidRDefault="002A530E" w:rsidP="00C90C1D">
            <w:pPr>
              <w:tabs>
                <w:tab w:val="left" w:pos="4932"/>
              </w:tabs>
              <w:jc w:val="both"/>
              <w:rPr>
                <w:rFonts w:ascii="Arial" w:hAnsi="Arial" w:cs="Arial"/>
                <w:i/>
                <w:lang w:val="en-US"/>
              </w:rPr>
            </w:pPr>
            <w:r w:rsidRPr="00685B4A">
              <w:rPr>
                <w:rFonts w:ascii="Arial" w:hAnsi="Arial" w:cs="Arial"/>
                <w:i/>
                <w:lang w:val="en-US"/>
              </w:rPr>
              <w:t>Cr Customer advances</w:t>
            </w:r>
            <w:r w:rsidRPr="00685B4A">
              <w:rPr>
                <w:rFonts w:ascii="Arial" w:hAnsi="Arial" w:cs="Arial"/>
                <w:i/>
                <w:lang w:val="en-US"/>
              </w:rPr>
              <w:tab/>
              <w:t>$100</w:t>
            </w:r>
          </w:p>
          <w:p w:rsidR="002A530E" w:rsidRPr="00685B4A" w:rsidRDefault="002A530E" w:rsidP="00C90C1D">
            <w:pPr>
              <w:tabs>
                <w:tab w:val="left" w:pos="4572"/>
              </w:tabs>
              <w:jc w:val="both"/>
              <w:rPr>
                <w:rFonts w:ascii="Arial" w:hAnsi="Arial" w:cs="Arial"/>
                <w:i/>
                <w:lang w:val="en-US"/>
              </w:rPr>
            </w:pPr>
            <w:r w:rsidRPr="00685B4A">
              <w:rPr>
                <w:rFonts w:ascii="Arial" w:hAnsi="Arial" w:cs="Arial"/>
                <w:i/>
                <w:lang w:val="en-US"/>
              </w:rPr>
              <w:t>Dr Customer advances</w:t>
            </w:r>
            <w:r w:rsidRPr="00685B4A">
              <w:rPr>
                <w:rFonts w:ascii="Arial" w:hAnsi="Arial" w:cs="Arial"/>
                <w:i/>
                <w:lang w:val="en-US"/>
              </w:rPr>
              <w:tab/>
              <w:t>$50</w:t>
            </w:r>
          </w:p>
          <w:p w:rsidR="002A530E" w:rsidRPr="00685B4A" w:rsidRDefault="002A530E" w:rsidP="00C90C1D">
            <w:pPr>
              <w:tabs>
                <w:tab w:val="left" w:pos="4932"/>
              </w:tabs>
              <w:jc w:val="both"/>
              <w:rPr>
                <w:rFonts w:ascii="Arial" w:hAnsi="Arial" w:cs="Arial"/>
                <w:b/>
                <w:i/>
                <w:lang w:val="en-US"/>
              </w:rPr>
            </w:pPr>
            <w:r w:rsidRPr="00685B4A">
              <w:rPr>
                <w:rFonts w:ascii="Arial" w:hAnsi="Arial" w:cs="Arial"/>
                <w:i/>
                <w:lang w:val="en-US"/>
              </w:rPr>
              <w:t xml:space="preserve">Cr </w:t>
            </w:r>
            <w:r w:rsidRPr="00685B4A">
              <w:rPr>
                <w:rFonts w:ascii="Arial" w:hAnsi="Arial" w:cs="Arial"/>
                <w:lang w:val="en-US"/>
              </w:rPr>
              <w:t>Service revenue</w:t>
            </w:r>
            <w:r w:rsidRPr="00685B4A">
              <w:rPr>
                <w:rFonts w:ascii="Arial" w:hAnsi="Arial" w:cs="Arial"/>
                <w:i/>
                <w:lang w:val="en-US"/>
              </w:rPr>
              <w:tab/>
              <w:t>$50</w:t>
            </w:r>
          </w:p>
        </w:tc>
      </w:tr>
    </w:tbl>
    <w:p w:rsidR="009E3E7B" w:rsidRPr="003D34E9" w:rsidRDefault="009E3E7B" w:rsidP="00DC1705">
      <w:pPr>
        <w:spacing w:line="360" w:lineRule="auto"/>
        <w:ind w:firstLine="567"/>
        <w:jc w:val="both"/>
        <w:rPr>
          <w:rFonts w:ascii="Times New Roman" w:hAnsi="Times New Roman" w:cs="Times New Roman"/>
          <w:sz w:val="28"/>
          <w:szCs w:val="28"/>
          <w:lang w:val="en-US"/>
        </w:rPr>
      </w:pPr>
    </w:p>
    <w:p w:rsidR="009E3E7B" w:rsidRDefault="009E3E7B" w:rsidP="009E3E7B">
      <w:pPr>
        <w:pStyle w:val="3"/>
      </w:pPr>
      <w:bookmarkStart w:id="36" w:name="_Toc356280333"/>
      <w:r>
        <w:t>Пример признания выручки от многокомпонентных сделок</w:t>
      </w:r>
      <w:bookmarkEnd w:id="36"/>
    </w:p>
    <w:p w:rsidR="009E3E7B" w:rsidRDefault="009E3E7B" w:rsidP="009E3E7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предыдущей главе я также затронула проблему многокомпонентных сделок. Конкретная компания рассматривает пакет контрактов как многокомпонентную сделку, если:</w:t>
      </w:r>
    </w:p>
    <w:p w:rsidR="009E3E7B" w:rsidRPr="00663E8B" w:rsidRDefault="009E3E7B" w:rsidP="009E3E7B">
      <w:pPr>
        <w:spacing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t>- контракты заключены в логической временной близости друг от друга;</w:t>
      </w:r>
    </w:p>
    <w:p w:rsidR="009E3E7B" w:rsidRPr="00663E8B" w:rsidRDefault="009E3E7B" w:rsidP="009E3E7B">
      <w:pPr>
        <w:spacing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lastRenderedPageBreak/>
        <w:t xml:space="preserve">- предметы договоров тесно </w:t>
      </w:r>
      <w:proofErr w:type="spellStart"/>
      <w:r w:rsidRPr="00663E8B">
        <w:rPr>
          <w:rFonts w:ascii="Times New Roman" w:hAnsi="Times New Roman" w:cs="Times New Roman"/>
          <w:sz w:val="28"/>
          <w:szCs w:val="28"/>
        </w:rPr>
        <w:t>взаимодополняют</w:t>
      </w:r>
      <w:proofErr w:type="spellEnd"/>
      <w:r w:rsidRPr="00663E8B">
        <w:rPr>
          <w:rFonts w:ascii="Times New Roman" w:hAnsi="Times New Roman" w:cs="Times New Roman"/>
          <w:sz w:val="28"/>
          <w:szCs w:val="28"/>
        </w:rPr>
        <w:t xml:space="preserve"> друг друга в части технологии, дизайна, функциональности;</w:t>
      </w:r>
    </w:p>
    <w:p w:rsidR="009E3E7B" w:rsidRPr="00663E8B" w:rsidRDefault="009E3E7B" w:rsidP="009E3E7B">
      <w:pPr>
        <w:spacing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t>- в случае неудовлетворительного выполнения условий одного из контрактов, вознаграждение по другому контракту подлежит возврату;</w:t>
      </w:r>
    </w:p>
    <w:p w:rsidR="009E3E7B" w:rsidRPr="00663E8B" w:rsidRDefault="009E3E7B" w:rsidP="009E3E7B">
      <w:pPr>
        <w:spacing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t xml:space="preserve">- условия оплаты по одному из контрактов </w:t>
      </w:r>
      <w:proofErr w:type="spellStart"/>
      <w:r w:rsidRPr="00663E8B">
        <w:rPr>
          <w:rFonts w:ascii="Times New Roman" w:hAnsi="Times New Roman" w:cs="Times New Roman"/>
          <w:sz w:val="28"/>
          <w:szCs w:val="28"/>
        </w:rPr>
        <w:t>коррелируют</w:t>
      </w:r>
      <w:proofErr w:type="spellEnd"/>
      <w:r w:rsidRPr="00663E8B">
        <w:rPr>
          <w:rFonts w:ascii="Times New Roman" w:hAnsi="Times New Roman" w:cs="Times New Roman"/>
          <w:sz w:val="28"/>
          <w:szCs w:val="28"/>
        </w:rPr>
        <w:t xml:space="preserve"> с критериями выполнения работы по другому контракту;</w:t>
      </w:r>
    </w:p>
    <w:p w:rsidR="009E3E7B" w:rsidRPr="00663E8B" w:rsidRDefault="009E3E7B" w:rsidP="009E3E7B">
      <w:pPr>
        <w:spacing w:line="360" w:lineRule="auto"/>
        <w:ind w:firstLine="567"/>
        <w:jc w:val="both"/>
        <w:rPr>
          <w:rFonts w:ascii="Times New Roman" w:hAnsi="Times New Roman" w:cs="Times New Roman"/>
          <w:sz w:val="28"/>
          <w:szCs w:val="28"/>
        </w:rPr>
      </w:pPr>
      <w:r w:rsidRPr="00663E8B">
        <w:rPr>
          <w:rFonts w:ascii="Times New Roman" w:hAnsi="Times New Roman" w:cs="Times New Roman"/>
          <w:sz w:val="28"/>
          <w:szCs w:val="28"/>
        </w:rPr>
        <w:t>- поставщик оказывает подобную услугу большинству клиентов, приобретающих товар, цена на услугу определяется на дату приобретения товара.</w:t>
      </w:r>
    </w:p>
    <w:p w:rsidR="009E3E7B" w:rsidRDefault="009E3E7B" w:rsidP="009E3E7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Следовательно, по каждому пакету договоров проводится детальный анализ.</w:t>
      </w:r>
    </w:p>
    <w:p w:rsidR="009E3E7B" w:rsidRPr="00663E8B" w:rsidRDefault="009E3E7B" w:rsidP="009E3E7B">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w:t>
      </w:r>
      <w:r w:rsidRPr="00685B4A">
        <w:rPr>
          <w:rFonts w:ascii="Arial" w:hAnsi="Arial" w:cs="Arial"/>
          <w:b/>
          <w:i/>
        </w:rPr>
        <w:t xml:space="preserve">Пример </w:t>
      </w:r>
      <w:r>
        <w:rPr>
          <w:rFonts w:ascii="Arial" w:hAnsi="Arial" w:cs="Arial"/>
          <w:b/>
          <w:i/>
        </w:rPr>
        <w:t>1</w:t>
      </w:r>
    </w:p>
    <w:p w:rsidR="009E3E7B" w:rsidRPr="00685B4A" w:rsidRDefault="009E3E7B" w:rsidP="009E3E7B">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xml:space="preserve">Компания осуществляет продажу оборудования своим постоянным клиентам услуг фиксированной связи. В марте было продано оборудования  на 1000 руб. и оказано услуг фиксированной связи на 300 руб. </w:t>
      </w:r>
    </w:p>
    <w:p w:rsidR="009E3E7B" w:rsidRPr="00685B4A" w:rsidRDefault="009E3E7B" w:rsidP="009E3E7B">
      <w:pPr>
        <w:pBdr>
          <w:top w:val="single" w:sz="4" w:space="1" w:color="auto"/>
          <w:left w:val="single" w:sz="4" w:space="4" w:color="auto"/>
          <w:bottom w:val="single" w:sz="4" w:space="1" w:color="auto"/>
          <w:right w:val="single" w:sz="4" w:space="4" w:color="auto"/>
        </w:pBdr>
        <w:jc w:val="both"/>
        <w:rPr>
          <w:rFonts w:ascii="Arial" w:hAnsi="Arial" w:cs="Arial"/>
          <w:i/>
        </w:rPr>
      </w:pPr>
    </w:p>
    <w:p w:rsidR="009E3E7B" w:rsidRPr="00685B4A" w:rsidRDefault="009E3E7B" w:rsidP="009E3E7B">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Анализ:  Данные договора не соответствуют критериям признания многокомпонентной сделки:</w:t>
      </w:r>
    </w:p>
    <w:p w:rsidR="009E3E7B" w:rsidRPr="00685B4A" w:rsidRDefault="009E3E7B" w:rsidP="009E3E7B">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нет прямой (функциональной и юридической) зависимости между предоставлением услуг связи и продажей оборудования;</w:t>
      </w:r>
    </w:p>
    <w:p w:rsidR="009E3E7B" w:rsidRPr="00685B4A" w:rsidRDefault="009E3E7B" w:rsidP="009E3E7B">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получение вознаграждения от поставки оборудования не взаимосвязано с качеством выполнения услуг связи;</w:t>
      </w:r>
    </w:p>
    <w:p w:rsidR="009E3E7B" w:rsidRDefault="009E3E7B" w:rsidP="009E3E7B">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Вывод: выручка от услуг связи признается по мере оказания услуг связи. Выручка от продажи оборудования признается при соблюдении всех критериев признания выручки.</w:t>
      </w:r>
    </w:p>
    <w:p w:rsidR="009E3E7B" w:rsidRPr="00685B4A" w:rsidRDefault="009E3E7B" w:rsidP="009E3E7B">
      <w:pPr>
        <w:pBdr>
          <w:top w:val="single" w:sz="4" w:space="1" w:color="auto"/>
          <w:left w:val="single" w:sz="4" w:space="4" w:color="auto"/>
          <w:bottom w:val="single" w:sz="4" w:space="1" w:color="auto"/>
          <w:right w:val="single" w:sz="4" w:space="4" w:color="auto"/>
        </w:pBdr>
        <w:jc w:val="both"/>
        <w:rPr>
          <w:rFonts w:ascii="Arial" w:hAnsi="Arial" w:cs="Arial"/>
          <w:i/>
        </w:rPr>
      </w:pPr>
    </w:p>
    <w:p w:rsidR="009E3E7B" w:rsidRPr="00685B4A"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b/>
          <w:i/>
        </w:rPr>
      </w:pPr>
      <w:r w:rsidRPr="00685B4A">
        <w:rPr>
          <w:rFonts w:ascii="Arial" w:hAnsi="Arial" w:cs="Arial"/>
          <w:b/>
          <w:i/>
        </w:rPr>
        <w:t xml:space="preserve">Пример </w:t>
      </w:r>
      <w:r>
        <w:rPr>
          <w:rFonts w:ascii="Arial" w:hAnsi="Arial" w:cs="Arial"/>
          <w:b/>
          <w:i/>
        </w:rPr>
        <w:t>2</w:t>
      </w:r>
    </w:p>
    <w:p w:rsidR="009E3E7B" w:rsidRPr="00685B4A"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i/>
        </w:rPr>
      </w:pPr>
      <w:r w:rsidRPr="00685B4A">
        <w:rPr>
          <w:rFonts w:ascii="Arial" w:hAnsi="Arial" w:cs="Arial"/>
          <w:i/>
        </w:rPr>
        <w:t xml:space="preserve">Компания оказывает услуги по активации (настройке) </w:t>
      </w:r>
      <w:proofErr w:type="spellStart"/>
      <w:r w:rsidRPr="00685B4A">
        <w:rPr>
          <w:rFonts w:ascii="Arial" w:hAnsi="Arial" w:cs="Arial"/>
          <w:i/>
        </w:rPr>
        <w:t>телеком</w:t>
      </w:r>
      <w:proofErr w:type="spellEnd"/>
      <w:r w:rsidRPr="00685B4A">
        <w:rPr>
          <w:rFonts w:ascii="Arial" w:hAnsi="Arial" w:cs="Arial"/>
          <w:i/>
        </w:rPr>
        <w:t xml:space="preserve"> оборудования с целью дальнейшего предоставления услуг связи.</w:t>
      </w:r>
    </w:p>
    <w:p w:rsidR="009E3E7B" w:rsidRPr="00685B4A"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i/>
        </w:rPr>
      </w:pPr>
    </w:p>
    <w:p w:rsidR="009E3E7B" w:rsidRPr="00685B4A"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i/>
        </w:rPr>
      </w:pPr>
      <w:r w:rsidRPr="00685B4A">
        <w:rPr>
          <w:rFonts w:ascii="Arial" w:hAnsi="Arial" w:cs="Arial"/>
          <w:i/>
        </w:rPr>
        <w:t>Анализ:</w:t>
      </w:r>
    </w:p>
    <w:p w:rsidR="009E3E7B" w:rsidRPr="00685B4A"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i/>
        </w:rPr>
      </w:pPr>
      <w:r w:rsidRPr="00685B4A">
        <w:rPr>
          <w:rFonts w:ascii="Arial" w:hAnsi="Arial" w:cs="Arial"/>
          <w:i/>
        </w:rPr>
        <w:lastRenderedPageBreak/>
        <w:t>Данный договор соответствует критерию многокомпонентной сделки, но не соответствует критериям раздельного учета, так как:</w:t>
      </w:r>
    </w:p>
    <w:p w:rsidR="009E3E7B" w:rsidRPr="00685B4A"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i/>
        </w:rPr>
      </w:pPr>
      <w:r w:rsidRPr="00685B4A">
        <w:rPr>
          <w:rFonts w:ascii="Arial" w:hAnsi="Arial" w:cs="Arial"/>
          <w:i/>
        </w:rPr>
        <w:t>- услуга по активации оборудования не имеет ценность для покупателя как автономная услуга;</w:t>
      </w:r>
    </w:p>
    <w:p w:rsidR="009E3E7B" w:rsidRPr="00685B4A"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i/>
        </w:rPr>
      </w:pPr>
      <w:r w:rsidRPr="00685B4A">
        <w:rPr>
          <w:rFonts w:ascii="Arial" w:hAnsi="Arial" w:cs="Arial"/>
          <w:i/>
        </w:rPr>
        <w:t>- право возврата не предусмотрено.</w:t>
      </w:r>
    </w:p>
    <w:p w:rsidR="009E3E7B" w:rsidRPr="00685B4A"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i/>
        </w:rPr>
      </w:pPr>
      <w:proofErr w:type="gramStart"/>
      <w:r w:rsidRPr="00685B4A">
        <w:rPr>
          <w:rFonts w:ascii="Arial" w:hAnsi="Arial" w:cs="Arial"/>
          <w:i/>
        </w:rPr>
        <w:t>Следовательно</w:t>
      </w:r>
      <w:proofErr w:type="gramEnd"/>
      <w:r w:rsidRPr="00685B4A">
        <w:rPr>
          <w:rFonts w:ascii="Arial" w:hAnsi="Arial" w:cs="Arial"/>
          <w:i/>
        </w:rPr>
        <w:t xml:space="preserve"> договор должен учитываться как комбинированная единица учета.</w:t>
      </w:r>
    </w:p>
    <w:p w:rsidR="009E3E7B" w:rsidRPr="009E3E7B" w:rsidRDefault="009E3E7B" w:rsidP="009E3E7B">
      <w:pPr>
        <w:pBdr>
          <w:top w:val="single" w:sz="4" w:space="1" w:color="auto"/>
          <w:left w:val="single" w:sz="4" w:space="4" w:color="auto"/>
          <w:bottom w:val="single" w:sz="4" w:space="0" w:color="auto"/>
          <w:right w:val="single" w:sz="4" w:space="4" w:color="auto"/>
        </w:pBdr>
        <w:jc w:val="both"/>
        <w:rPr>
          <w:rFonts w:ascii="Arial" w:hAnsi="Arial" w:cs="Arial"/>
          <w:i/>
        </w:rPr>
      </w:pPr>
      <w:r w:rsidRPr="00685B4A">
        <w:rPr>
          <w:rFonts w:ascii="Arial" w:hAnsi="Arial" w:cs="Arial"/>
          <w:i/>
        </w:rPr>
        <w:t>Если договор соответствует критериям комбинированной единицы учета, то невозмещаемый начальный платеж за услугу по активации подлежит учету в течение срока оказания услуги (средний срок жизни абонента).</w:t>
      </w:r>
    </w:p>
    <w:p w:rsidR="009E3E7B" w:rsidRDefault="009E3E7B" w:rsidP="009E3E7B">
      <w:pPr>
        <w:pStyle w:val="3"/>
      </w:pPr>
    </w:p>
    <w:p w:rsidR="009E3E7B" w:rsidRDefault="009E3E7B" w:rsidP="009E3E7B">
      <w:pPr>
        <w:pStyle w:val="3"/>
      </w:pPr>
      <w:bookmarkStart w:id="37" w:name="_Toc356280334"/>
      <w:r>
        <w:t>Пример применения системы агентских взаимоотношений в признании выручки</w:t>
      </w:r>
      <w:bookmarkEnd w:id="37"/>
    </w:p>
    <w:p w:rsidR="00DC1705" w:rsidRPr="00DC1705" w:rsidRDefault="002A530E" w:rsidP="00DC170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прошлой главе я писала, что к</w:t>
      </w:r>
      <w:r w:rsidRPr="002A530E">
        <w:rPr>
          <w:rFonts w:ascii="Times New Roman" w:hAnsi="Times New Roman" w:cs="Times New Roman"/>
          <w:sz w:val="28"/>
          <w:szCs w:val="28"/>
        </w:rPr>
        <w:t>омпания может выступать как принципал и как агент в схеме агентских взаимоотношений: если компания выступает как принципал, то выручка признается на валовой основе (gross), если как агент – признается чистая выручка (</w:t>
      </w:r>
      <w:proofErr w:type="spellStart"/>
      <w:r w:rsidRPr="002A530E">
        <w:rPr>
          <w:rFonts w:ascii="Times New Roman" w:hAnsi="Times New Roman" w:cs="Times New Roman"/>
          <w:sz w:val="28"/>
          <w:szCs w:val="28"/>
        </w:rPr>
        <w:t>net</w:t>
      </w:r>
      <w:proofErr w:type="spellEnd"/>
      <w:r w:rsidRPr="002A530E">
        <w:rPr>
          <w:rFonts w:ascii="Times New Roman" w:hAnsi="Times New Roman" w:cs="Times New Roman"/>
          <w:sz w:val="28"/>
          <w:szCs w:val="28"/>
        </w:rPr>
        <w:t>).</w:t>
      </w:r>
      <w:r>
        <w:rPr>
          <w:rFonts w:ascii="Times New Roman" w:hAnsi="Times New Roman" w:cs="Times New Roman"/>
          <w:sz w:val="28"/>
          <w:szCs w:val="28"/>
        </w:rPr>
        <w:t xml:space="preserve"> В данной конкретной компании учётная политика признаёт, что п</w:t>
      </w:r>
      <w:r w:rsidRPr="002A530E">
        <w:rPr>
          <w:rFonts w:ascii="Times New Roman" w:hAnsi="Times New Roman" w:cs="Times New Roman"/>
          <w:sz w:val="28"/>
          <w:szCs w:val="28"/>
        </w:rPr>
        <w:t>ризнание выручки по агентским схемам требует проведения дополнительного анализа</w:t>
      </w:r>
      <w:r>
        <w:rPr>
          <w:rFonts w:ascii="Times New Roman" w:hAnsi="Times New Roman" w:cs="Times New Roman"/>
          <w:sz w:val="28"/>
          <w:szCs w:val="28"/>
        </w:rPr>
        <w:t>.</w:t>
      </w:r>
      <w:r w:rsidR="00DC1705">
        <w:rPr>
          <w:rFonts w:ascii="Times New Roman" w:hAnsi="Times New Roman" w:cs="Times New Roman"/>
          <w:sz w:val="28"/>
          <w:szCs w:val="28"/>
        </w:rPr>
        <w:t xml:space="preserve"> </w:t>
      </w:r>
      <w:r w:rsidR="00DC1705" w:rsidRPr="00DC1705">
        <w:rPr>
          <w:rFonts w:ascii="Times New Roman" w:hAnsi="Times New Roman" w:cs="Times New Roman"/>
          <w:sz w:val="28"/>
          <w:szCs w:val="28"/>
        </w:rPr>
        <w:t>Основными критериями для определения метода признания выручки являются:</w:t>
      </w:r>
    </w:p>
    <w:p w:rsidR="00DC1705" w:rsidRPr="00DC1705" w:rsidRDefault="00DC1705" w:rsidP="00DC1705">
      <w:pPr>
        <w:pStyle w:val="a3"/>
        <w:numPr>
          <w:ilvl w:val="0"/>
          <w:numId w:val="21"/>
        </w:numPr>
        <w:spacing w:before="240" w:line="360" w:lineRule="auto"/>
        <w:ind w:left="0" w:firstLine="851"/>
        <w:jc w:val="both"/>
        <w:rPr>
          <w:rFonts w:ascii="Times New Roman" w:hAnsi="Times New Roman" w:cs="Times New Roman"/>
          <w:sz w:val="28"/>
          <w:szCs w:val="28"/>
        </w:rPr>
      </w:pPr>
      <w:r w:rsidRPr="00DC1705">
        <w:rPr>
          <w:rFonts w:ascii="Times New Roman" w:hAnsi="Times New Roman" w:cs="Times New Roman"/>
          <w:sz w:val="28"/>
          <w:szCs w:val="28"/>
        </w:rPr>
        <w:t xml:space="preserve">кто принимает на себя основные обязательства в схеме </w:t>
      </w:r>
      <w:proofErr w:type="spellStart"/>
      <w:r w:rsidRPr="00DC1705">
        <w:rPr>
          <w:rFonts w:ascii="Times New Roman" w:hAnsi="Times New Roman" w:cs="Times New Roman"/>
          <w:sz w:val="28"/>
          <w:szCs w:val="28"/>
        </w:rPr>
        <w:t>взаимотношения</w:t>
      </w:r>
      <w:proofErr w:type="spellEnd"/>
      <w:r w:rsidRPr="00DC1705">
        <w:rPr>
          <w:rFonts w:ascii="Times New Roman" w:hAnsi="Times New Roman" w:cs="Times New Roman"/>
          <w:sz w:val="28"/>
          <w:szCs w:val="28"/>
        </w:rPr>
        <w:t xml:space="preserve"> сторон (исполнитель – агент – клиент);</w:t>
      </w:r>
    </w:p>
    <w:p w:rsidR="00DC1705" w:rsidRPr="00DC1705" w:rsidRDefault="00DC1705" w:rsidP="00DC1705">
      <w:pPr>
        <w:pStyle w:val="a3"/>
        <w:numPr>
          <w:ilvl w:val="0"/>
          <w:numId w:val="21"/>
        </w:numPr>
        <w:spacing w:before="240" w:line="360" w:lineRule="auto"/>
        <w:ind w:left="0" w:firstLine="851"/>
        <w:jc w:val="both"/>
        <w:rPr>
          <w:rFonts w:ascii="Times New Roman" w:hAnsi="Times New Roman" w:cs="Times New Roman"/>
          <w:sz w:val="28"/>
          <w:szCs w:val="28"/>
        </w:rPr>
      </w:pPr>
      <w:r w:rsidRPr="00DC1705">
        <w:rPr>
          <w:rFonts w:ascii="Times New Roman" w:hAnsi="Times New Roman" w:cs="Times New Roman"/>
          <w:sz w:val="28"/>
          <w:szCs w:val="28"/>
        </w:rPr>
        <w:t>кто определяет ценовую политику с клиентом;</w:t>
      </w:r>
    </w:p>
    <w:p w:rsidR="00DC1705" w:rsidRPr="00DC1705" w:rsidRDefault="00DC1705" w:rsidP="00DC1705">
      <w:pPr>
        <w:pStyle w:val="a3"/>
        <w:numPr>
          <w:ilvl w:val="0"/>
          <w:numId w:val="21"/>
        </w:numPr>
        <w:spacing w:before="240" w:line="360" w:lineRule="auto"/>
        <w:ind w:left="0" w:firstLine="851"/>
        <w:jc w:val="both"/>
        <w:rPr>
          <w:rFonts w:ascii="Times New Roman" w:hAnsi="Times New Roman" w:cs="Times New Roman"/>
          <w:sz w:val="28"/>
          <w:szCs w:val="28"/>
        </w:rPr>
      </w:pPr>
      <w:r w:rsidRPr="00DC1705">
        <w:rPr>
          <w:rFonts w:ascii="Times New Roman" w:hAnsi="Times New Roman" w:cs="Times New Roman"/>
          <w:sz w:val="28"/>
          <w:szCs w:val="28"/>
        </w:rPr>
        <w:t>кто несет кредитный риск;</w:t>
      </w:r>
    </w:p>
    <w:p w:rsidR="00DC1705" w:rsidRPr="00DC1705" w:rsidRDefault="00DC1705" w:rsidP="00DC1705">
      <w:pPr>
        <w:pStyle w:val="a3"/>
        <w:numPr>
          <w:ilvl w:val="0"/>
          <w:numId w:val="21"/>
        </w:numPr>
        <w:spacing w:before="240" w:line="360" w:lineRule="auto"/>
        <w:ind w:left="0" w:firstLine="851"/>
        <w:jc w:val="both"/>
        <w:rPr>
          <w:rFonts w:ascii="Times New Roman" w:hAnsi="Times New Roman" w:cs="Times New Roman"/>
          <w:sz w:val="28"/>
          <w:szCs w:val="28"/>
        </w:rPr>
      </w:pPr>
      <w:r w:rsidRPr="00DC1705">
        <w:rPr>
          <w:rFonts w:ascii="Times New Roman" w:hAnsi="Times New Roman" w:cs="Times New Roman"/>
          <w:sz w:val="28"/>
          <w:szCs w:val="28"/>
        </w:rPr>
        <w:t>кто определяет основного исполнителя по договору;</w:t>
      </w:r>
    </w:p>
    <w:p w:rsidR="00DC1705" w:rsidRPr="00DC1705" w:rsidRDefault="00DC1705" w:rsidP="00DC1705">
      <w:pPr>
        <w:pStyle w:val="a3"/>
        <w:numPr>
          <w:ilvl w:val="0"/>
          <w:numId w:val="21"/>
        </w:numPr>
        <w:spacing w:before="240" w:line="360" w:lineRule="auto"/>
        <w:ind w:left="0" w:firstLine="851"/>
        <w:jc w:val="both"/>
        <w:rPr>
          <w:rFonts w:ascii="Times New Roman" w:hAnsi="Times New Roman" w:cs="Times New Roman"/>
          <w:sz w:val="28"/>
          <w:szCs w:val="28"/>
        </w:rPr>
      </w:pPr>
      <w:r w:rsidRPr="00DC1705">
        <w:rPr>
          <w:rFonts w:ascii="Times New Roman" w:hAnsi="Times New Roman" w:cs="Times New Roman"/>
          <w:sz w:val="28"/>
          <w:szCs w:val="28"/>
        </w:rPr>
        <w:t>кто значительно модифицирует продукт, что ведет к увеличению его стоимости;</w:t>
      </w:r>
    </w:p>
    <w:p w:rsidR="00DC1705" w:rsidRPr="00DC1705" w:rsidRDefault="00DC1705" w:rsidP="00DC1705">
      <w:pPr>
        <w:pStyle w:val="a3"/>
        <w:numPr>
          <w:ilvl w:val="0"/>
          <w:numId w:val="21"/>
        </w:numPr>
        <w:spacing w:before="240" w:line="360" w:lineRule="auto"/>
        <w:ind w:left="0" w:firstLine="851"/>
        <w:jc w:val="both"/>
        <w:rPr>
          <w:rFonts w:ascii="Times New Roman" w:hAnsi="Times New Roman" w:cs="Times New Roman"/>
          <w:sz w:val="28"/>
          <w:szCs w:val="28"/>
        </w:rPr>
      </w:pPr>
      <w:r w:rsidRPr="00DC1705">
        <w:rPr>
          <w:rFonts w:ascii="Times New Roman" w:hAnsi="Times New Roman" w:cs="Times New Roman"/>
          <w:sz w:val="28"/>
          <w:szCs w:val="28"/>
        </w:rPr>
        <w:t>кто определяет спецификацию продукта/услуги;</w:t>
      </w:r>
    </w:p>
    <w:p w:rsidR="00DC1705" w:rsidRPr="00DC1705" w:rsidRDefault="00DC1705" w:rsidP="00DC1705">
      <w:pPr>
        <w:pStyle w:val="a3"/>
        <w:numPr>
          <w:ilvl w:val="0"/>
          <w:numId w:val="21"/>
        </w:numPr>
        <w:spacing w:before="240" w:line="360" w:lineRule="auto"/>
        <w:ind w:left="0" w:firstLine="851"/>
        <w:jc w:val="both"/>
        <w:rPr>
          <w:rFonts w:ascii="Times New Roman" w:hAnsi="Times New Roman" w:cs="Times New Roman"/>
          <w:sz w:val="28"/>
          <w:szCs w:val="28"/>
        </w:rPr>
      </w:pPr>
      <w:r w:rsidRPr="00DC1705">
        <w:rPr>
          <w:rFonts w:ascii="Times New Roman" w:hAnsi="Times New Roman" w:cs="Times New Roman"/>
          <w:sz w:val="28"/>
          <w:szCs w:val="28"/>
        </w:rPr>
        <w:t>кто несет основные риски по продукту/услуге (риск обесценения, риск возврата);</w:t>
      </w:r>
    </w:p>
    <w:p w:rsidR="00DC1705" w:rsidRPr="00DC1705" w:rsidRDefault="00DC1705" w:rsidP="00DC1705">
      <w:pPr>
        <w:pStyle w:val="a3"/>
        <w:numPr>
          <w:ilvl w:val="0"/>
          <w:numId w:val="21"/>
        </w:numPr>
        <w:spacing w:before="240" w:line="360" w:lineRule="auto"/>
        <w:ind w:left="0" w:firstLine="851"/>
        <w:jc w:val="both"/>
        <w:rPr>
          <w:rFonts w:ascii="Times New Roman" w:hAnsi="Times New Roman" w:cs="Times New Roman"/>
          <w:sz w:val="28"/>
          <w:szCs w:val="28"/>
        </w:rPr>
      </w:pPr>
      <w:r w:rsidRPr="00DC1705">
        <w:rPr>
          <w:rFonts w:ascii="Times New Roman" w:hAnsi="Times New Roman" w:cs="Times New Roman"/>
          <w:sz w:val="28"/>
          <w:szCs w:val="28"/>
        </w:rPr>
        <w:t>кто несет риск порчи товара.</w:t>
      </w:r>
    </w:p>
    <w:p w:rsidR="002A530E" w:rsidRDefault="00DC1705" w:rsidP="002A530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следующих двух примерах я </w:t>
      </w:r>
      <w:r w:rsidR="009E3E7B">
        <w:rPr>
          <w:rFonts w:ascii="Times New Roman" w:hAnsi="Times New Roman" w:cs="Times New Roman"/>
          <w:sz w:val="28"/>
          <w:szCs w:val="28"/>
        </w:rPr>
        <w:t>покажу</w:t>
      </w:r>
      <w:r>
        <w:rPr>
          <w:rFonts w:ascii="Times New Roman" w:hAnsi="Times New Roman" w:cs="Times New Roman"/>
          <w:sz w:val="28"/>
          <w:szCs w:val="28"/>
        </w:rPr>
        <w:t xml:space="preserve"> на практике, чем отличаются 2 метода признания выручки.</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b/>
          <w:i/>
        </w:rPr>
      </w:pPr>
      <w:r w:rsidRPr="00685B4A">
        <w:rPr>
          <w:rFonts w:ascii="Arial" w:hAnsi="Arial" w:cs="Arial"/>
          <w:b/>
          <w:i/>
        </w:rPr>
        <w:t xml:space="preserve">Пример </w:t>
      </w:r>
      <w:r>
        <w:rPr>
          <w:rFonts w:ascii="Arial" w:hAnsi="Arial" w:cs="Arial"/>
          <w:b/>
          <w:i/>
        </w:rPr>
        <w:t>1</w:t>
      </w:r>
      <w:r w:rsidRPr="00685B4A">
        <w:rPr>
          <w:rFonts w:ascii="Arial" w:hAnsi="Arial" w:cs="Arial"/>
          <w:b/>
          <w:i/>
        </w:rPr>
        <w:t>: Отражение доходов по транзитному трафику (Компания - принципал)</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xml:space="preserve">Абонент компании </w:t>
      </w:r>
      <w:proofErr w:type="spellStart"/>
      <w:r w:rsidRPr="00685B4A">
        <w:rPr>
          <w:rFonts w:ascii="Arial" w:hAnsi="Arial" w:cs="Arial"/>
          <w:i/>
          <w:lang w:val="en-US"/>
        </w:rPr>
        <w:t>Sonafon</w:t>
      </w:r>
      <w:proofErr w:type="spellEnd"/>
      <w:r w:rsidRPr="00685B4A">
        <w:rPr>
          <w:rFonts w:ascii="Arial" w:hAnsi="Arial" w:cs="Arial"/>
          <w:i/>
        </w:rPr>
        <w:t xml:space="preserve"> звонит своему другу в Китай. </w:t>
      </w:r>
      <w:proofErr w:type="spellStart"/>
      <w:r w:rsidRPr="00685B4A">
        <w:rPr>
          <w:rFonts w:ascii="Arial" w:hAnsi="Arial" w:cs="Arial"/>
          <w:i/>
        </w:rPr>
        <w:t>Сонафон</w:t>
      </w:r>
      <w:proofErr w:type="spellEnd"/>
      <w:r w:rsidRPr="00685B4A">
        <w:rPr>
          <w:rFonts w:ascii="Arial" w:hAnsi="Arial" w:cs="Arial"/>
          <w:i/>
        </w:rPr>
        <w:t xml:space="preserve">  </w:t>
      </w:r>
      <w:proofErr w:type="spellStart"/>
      <w:r w:rsidRPr="00685B4A">
        <w:rPr>
          <w:rFonts w:ascii="Arial" w:hAnsi="Arial" w:cs="Arial"/>
          <w:i/>
        </w:rPr>
        <w:t>перенаправляет</w:t>
      </w:r>
      <w:proofErr w:type="spellEnd"/>
      <w:r w:rsidRPr="00685B4A">
        <w:rPr>
          <w:rFonts w:ascii="Arial" w:hAnsi="Arial" w:cs="Arial"/>
          <w:i/>
        </w:rPr>
        <w:t xml:space="preserve"> звонок Компании, которая в свою очередь </w:t>
      </w:r>
      <w:proofErr w:type="spellStart"/>
      <w:r w:rsidRPr="00685B4A">
        <w:rPr>
          <w:rFonts w:ascii="Arial" w:hAnsi="Arial" w:cs="Arial"/>
          <w:i/>
        </w:rPr>
        <w:t>перенаправляет</w:t>
      </w:r>
      <w:proofErr w:type="spellEnd"/>
      <w:r w:rsidRPr="00685B4A">
        <w:rPr>
          <w:rFonts w:ascii="Arial" w:hAnsi="Arial" w:cs="Arial"/>
          <w:i/>
        </w:rPr>
        <w:t xml:space="preserve"> звонок компании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 xml:space="preserve">. Компания </w:t>
      </w:r>
      <w:proofErr w:type="gramStart"/>
      <w:r w:rsidRPr="00685B4A">
        <w:rPr>
          <w:rFonts w:ascii="Arial" w:hAnsi="Arial" w:cs="Arial"/>
          <w:i/>
        </w:rPr>
        <w:t>определила</w:t>
      </w:r>
      <w:proofErr w:type="gramEnd"/>
      <w:r w:rsidRPr="00685B4A">
        <w:rPr>
          <w:rFonts w:ascii="Arial" w:hAnsi="Arial" w:cs="Arial"/>
          <w:i/>
        </w:rPr>
        <w:t xml:space="preserve"> что самый дешевый путь для звонка в Китай – через компанию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 xml:space="preserve">. Компания выставляет счет компании </w:t>
      </w:r>
      <w:proofErr w:type="spellStart"/>
      <w:r w:rsidRPr="00685B4A">
        <w:rPr>
          <w:rFonts w:ascii="Arial" w:hAnsi="Arial" w:cs="Arial"/>
          <w:i/>
          <w:lang w:val="en-US"/>
        </w:rPr>
        <w:t>Sonafon</w:t>
      </w:r>
      <w:proofErr w:type="spellEnd"/>
      <w:r w:rsidRPr="00685B4A">
        <w:rPr>
          <w:rFonts w:ascii="Arial" w:hAnsi="Arial" w:cs="Arial"/>
          <w:i/>
        </w:rPr>
        <w:t xml:space="preserve"> </w:t>
      </w:r>
      <w:proofErr w:type="spellStart"/>
      <w:r w:rsidRPr="00685B4A">
        <w:rPr>
          <w:rFonts w:ascii="Arial" w:hAnsi="Arial" w:cs="Arial"/>
          <w:i/>
        </w:rPr>
        <w:t>ранвный</w:t>
      </w:r>
      <w:proofErr w:type="spellEnd"/>
      <w:r w:rsidRPr="00685B4A">
        <w:rPr>
          <w:rFonts w:ascii="Arial" w:hAnsi="Arial" w:cs="Arial"/>
          <w:i/>
        </w:rPr>
        <w:t xml:space="preserve"> 0,2$ за минуту,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 xml:space="preserve"> выставляет счет Компании</w:t>
      </w:r>
      <w:r>
        <w:rPr>
          <w:rFonts w:ascii="Arial" w:hAnsi="Arial" w:cs="Arial"/>
          <w:i/>
        </w:rPr>
        <w:t>,</w:t>
      </w:r>
      <w:r w:rsidRPr="00685B4A">
        <w:rPr>
          <w:rFonts w:ascii="Arial" w:hAnsi="Arial" w:cs="Arial"/>
          <w:i/>
        </w:rPr>
        <w:t xml:space="preserve"> равный 0,15$ за минуту.</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xml:space="preserve">Анализ договора: </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xml:space="preserve">Компания может самостоятельно определять маршрутизацию звонка, устанавливать цену, а </w:t>
      </w:r>
      <w:proofErr w:type="spellStart"/>
      <w:r w:rsidRPr="00685B4A">
        <w:rPr>
          <w:rFonts w:ascii="Arial" w:hAnsi="Arial" w:cs="Arial"/>
          <w:i/>
        </w:rPr>
        <w:t>так-же</w:t>
      </w:r>
      <w:proofErr w:type="spellEnd"/>
      <w:r w:rsidRPr="00685B4A">
        <w:rPr>
          <w:rFonts w:ascii="Arial" w:hAnsi="Arial" w:cs="Arial"/>
          <w:i/>
        </w:rPr>
        <w:t xml:space="preserve"> несет кредитный риск по задолженности компании </w:t>
      </w:r>
      <w:proofErr w:type="spellStart"/>
      <w:r w:rsidRPr="00685B4A">
        <w:rPr>
          <w:rFonts w:ascii="Arial" w:hAnsi="Arial" w:cs="Arial"/>
          <w:i/>
          <w:lang w:val="en-US"/>
        </w:rPr>
        <w:t>Sonafon</w:t>
      </w:r>
      <w:proofErr w:type="spellEnd"/>
      <w:r w:rsidRPr="00685B4A">
        <w:rPr>
          <w:rFonts w:ascii="Arial" w:hAnsi="Arial" w:cs="Arial"/>
          <w:i/>
        </w:rPr>
        <w:t xml:space="preserve">. Компания самостоятельно определяет оператора принимающего трафик от звонка компании </w:t>
      </w:r>
      <w:proofErr w:type="spellStart"/>
      <w:r w:rsidRPr="00685B4A">
        <w:rPr>
          <w:rFonts w:ascii="Arial" w:hAnsi="Arial" w:cs="Arial"/>
          <w:i/>
          <w:lang w:val="en-US"/>
        </w:rPr>
        <w:t>Sonafon</w:t>
      </w:r>
      <w:proofErr w:type="spellEnd"/>
      <w:r w:rsidRPr="00685B4A">
        <w:rPr>
          <w:rFonts w:ascii="Arial" w:hAnsi="Arial" w:cs="Arial"/>
          <w:i/>
        </w:rPr>
        <w:t xml:space="preserve"> – компанию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 xml:space="preserve">. Компания несет кредитный риск по задолженности перед </w:t>
      </w:r>
      <w:proofErr w:type="spellStart"/>
      <w:r w:rsidRPr="00685B4A">
        <w:rPr>
          <w:rFonts w:ascii="Arial" w:hAnsi="Arial" w:cs="Arial"/>
          <w:i/>
        </w:rPr>
        <w:t>копанией</w:t>
      </w:r>
      <w:proofErr w:type="spellEnd"/>
      <w:r w:rsidRPr="00685B4A">
        <w:rPr>
          <w:rFonts w:ascii="Arial" w:hAnsi="Arial" w:cs="Arial"/>
          <w:i/>
        </w:rPr>
        <w:t xml:space="preserve">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 xml:space="preserve"> и должна будет осуществить платеж даже в случае дефолта компании </w:t>
      </w:r>
      <w:proofErr w:type="spellStart"/>
      <w:r w:rsidRPr="00685B4A">
        <w:rPr>
          <w:rFonts w:ascii="Arial" w:hAnsi="Arial" w:cs="Arial"/>
          <w:i/>
          <w:lang w:val="en-US"/>
        </w:rPr>
        <w:t>Sonafon</w:t>
      </w:r>
      <w:proofErr w:type="spellEnd"/>
      <w:r w:rsidRPr="00685B4A">
        <w:rPr>
          <w:rFonts w:ascii="Arial" w:hAnsi="Arial" w:cs="Arial"/>
          <w:i/>
        </w:rPr>
        <w:t>,</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Вывод: Компания должна отражать валовую выручку</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Отражение выручки и затрат:</w:t>
      </w:r>
    </w:p>
    <w:p w:rsidR="00DC1705" w:rsidRPr="009E3E7B" w:rsidRDefault="009E3E7B" w:rsidP="00DC1705">
      <w:pPr>
        <w:pBdr>
          <w:top w:val="single" w:sz="4" w:space="1" w:color="auto"/>
          <w:left w:val="single" w:sz="4" w:space="4" w:color="auto"/>
          <w:bottom w:val="single" w:sz="4" w:space="1" w:color="auto"/>
          <w:right w:val="single" w:sz="4" w:space="4" w:color="auto"/>
        </w:pBdr>
        <w:jc w:val="both"/>
        <w:rPr>
          <w:rFonts w:ascii="Arial" w:hAnsi="Arial" w:cs="Arial"/>
          <w:i/>
        </w:rPr>
      </w:pPr>
      <w:r>
        <w:rPr>
          <w:rFonts w:ascii="Arial" w:hAnsi="Arial" w:cs="Arial"/>
          <w:i/>
        </w:rPr>
        <w:t xml:space="preserve">Дт </w:t>
      </w:r>
      <w:r w:rsidR="00DC1705" w:rsidRPr="00685B4A">
        <w:rPr>
          <w:rFonts w:ascii="Arial" w:hAnsi="Arial" w:cs="Arial"/>
          <w:i/>
          <w:lang w:val="en-US"/>
        </w:rPr>
        <w:t>Accrued</w:t>
      </w:r>
      <w:r w:rsidR="00DC1705" w:rsidRPr="009E3E7B">
        <w:rPr>
          <w:rFonts w:ascii="Arial" w:hAnsi="Arial" w:cs="Arial"/>
          <w:i/>
        </w:rPr>
        <w:t xml:space="preserve"> </w:t>
      </w:r>
      <w:r w:rsidR="00DC1705" w:rsidRPr="00685B4A">
        <w:rPr>
          <w:rFonts w:ascii="Arial" w:hAnsi="Arial" w:cs="Arial"/>
          <w:i/>
          <w:lang w:val="en-US"/>
        </w:rPr>
        <w:t>sale</w:t>
      </w:r>
      <w:r w:rsidR="00DC1705" w:rsidRPr="009E3E7B">
        <w:rPr>
          <w:rFonts w:ascii="Arial" w:hAnsi="Arial" w:cs="Arial"/>
          <w:i/>
        </w:rPr>
        <w:tab/>
      </w:r>
      <w:r w:rsidR="00DC1705" w:rsidRPr="009E3E7B">
        <w:rPr>
          <w:rFonts w:ascii="Arial" w:hAnsi="Arial" w:cs="Arial"/>
          <w:i/>
        </w:rPr>
        <w:tab/>
        <w:t>0,20$</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lang w:val="en-US"/>
        </w:rPr>
      </w:pPr>
      <w:r w:rsidRPr="009E3E7B">
        <w:rPr>
          <w:rFonts w:ascii="Arial" w:hAnsi="Arial" w:cs="Arial"/>
          <w:i/>
        </w:rPr>
        <w:tab/>
      </w:r>
      <w:r w:rsidRPr="009E3E7B">
        <w:rPr>
          <w:rFonts w:ascii="Arial" w:hAnsi="Arial" w:cs="Arial"/>
          <w:i/>
        </w:rPr>
        <w:tab/>
      </w:r>
      <w:r w:rsidRPr="009E3E7B">
        <w:rPr>
          <w:rFonts w:ascii="Arial" w:hAnsi="Arial" w:cs="Arial"/>
          <w:i/>
        </w:rPr>
        <w:tab/>
      </w:r>
      <w:r w:rsidR="009E3E7B">
        <w:rPr>
          <w:rFonts w:ascii="Arial" w:hAnsi="Arial" w:cs="Arial"/>
          <w:i/>
        </w:rPr>
        <w:t>Кт</w:t>
      </w:r>
      <w:r w:rsidRPr="00685B4A">
        <w:rPr>
          <w:rFonts w:ascii="Arial" w:hAnsi="Arial" w:cs="Arial"/>
          <w:i/>
          <w:lang w:val="en-US"/>
        </w:rPr>
        <w:t xml:space="preserve"> Service revenue</w:t>
      </w:r>
      <w:r w:rsidRPr="00685B4A">
        <w:rPr>
          <w:rFonts w:ascii="Arial" w:hAnsi="Arial" w:cs="Arial"/>
          <w:i/>
          <w:lang w:val="en-US"/>
        </w:rPr>
        <w:tab/>
      </w:r>
      <w:r w:rsidRPr="00685B4A">
        <w:rPr>
          <w:rFonts w:ascii="Arial" w:hAnsi="Arial" w:cs="Arial"/>
          <w:i/>
          <w:lang w:val="en-US"/>
        </w:rPr>
        <w:tab/>
        <w:t>0,20$</w:t>
      </w:r>
    </w:p>
    <w:p w:rsidR="00DC1705" w:rsidRPr="00685B4A" w:rsidRDefault="009E3E7B" w:rsidP="00DC1705">
      <w:pPr>
        <w:pBdr>
          <w:top w:val="single" w:sz="4" w:space="1" w:color="auto"/>
          <w:left w:val="single" w:sz="4" w:space="4" w:color="auto"/>
          <w:bottom w:val="single" w:sz="4" w:space="1" w:color="auto"/>
          <w:right w:val="single" w:sz="4" w:space="4" w:color="auto"/>
        </w:pBdr>
        <w:jc w:val="both"/>
        <w:rPr>
          <w:rFonts w:ascii="Arial" w:hAnsi="Arial" w:cs="Arial"/>
          <w:i/>
          <w:lang w:val="en-US"/>
        </w:rPr>
      </w:pPr>
      <w:r>
        <w:rPr>
          <w:rFonts w:ascii="Arial" w:hAnsi="Arial" w:cs="Arial"/>
          <w:i/>
        </w:rPr>
        <w:t>Дт</w:t>
      </w:r>
      <w:r w:rsidR="00DC1705" w:rsidRPr="00685B4A">
        <w:rPr>
          <w:rFonts w:ascii="Arial" w:hAnsi="Arial" w:cs="Arial"/>
          <w:i/>
          <w:lang w:val="en-US"/>
        </w:rPr>
        <w:t xml:space="preserve"> Service costs</w:t>
      </w:r>
      <w:r w:rsidR="00DC1705" w:rsidRPr="00685B4A">
        <w:rPr>
          <w:rFonts w:ascii="Arial" w:hAnsi="Arial" w:cs="Arial"/>
          <w:i/>
          <w:lang w:val="en-US"/>
        </w:rPr>
        <w:tab/>
      </w:r>
      <w:r w:rsidR="00DC1705" w:rsidRPr="00685B4A">
        <w:rPr>
          <w:rFonts w:ascii="Arial" w:hAnsi="Arial" w:cs="Arial"/>
          <w:i/>
          <w:lang w:val="en-US"/>
        </w:rPr>
        <w:tab/>
        <w:t>0,15$</w:t>
      </w:r>
    </w:p>
    <w:p w:rsidR="00DC1705" w:rsidRPr="003D34E9"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lang w:val="en-US"/>
        </w:rPr>
        <w:tab/>
      </w:r>
      <w:r w:rsidRPr="00685B4A">
        <w:rPr>
          <w:rFonts w:ascii="Arial" w:hAnsi="Arial" w:cs="Arial"/>
          <w:i/>
          <w:lang w:val="en-US"/>
        </w:rPr>
        <w:tab/>
      </w:r>
      <w:r w:rsidRPr="00685B4A">
        <w:rPr>
          <w:rFonts w:ascii="Arial" w:hAnsi="Arial" w:cs="Arial"/>
          <w:i/>
          <w:lang w:val="en-US"/>
        </w:rPr>
        <w:tab/>
      </w:r>
      <w:r w:rsidR="009E3E7B">
        <w:rPr>
          <w:rFonts w:ascii="Arial" w:hAnsi="Arial" w:cs="Arial"/>
          <w:i/>
        </w:rPr>
        <w:t>Кт</w:t>
      </w:r>
      <w:r w:rsidRPr="003D34E9">
        <w:rPr>
          <w:rFonts w:ascii="Arial" w:hAnsi="Arial" w:cs="Arial"/>
          <w:i/>
        </w:rPr>
        <w:t xml:space="preserve"> </w:t>
      </w:r>
      <w:r w:rsidRPr="00685B4A">
        <w:rPr>
          <w:rFonts w:ascii="Arial" w:hAnsi="Arial" w:cs="Arial"/>
          <w:i/>
          <w:lang w:val="en-US"/>
        </w:rPr>
        <w:t>Accrued</w:t>
      </w:r>
      <w:r w:rsidRPr="003D34E9">
        <w:rPr>
          <w:rFonts w:ascii="Arial" w:hAnsi="Arial" w:cs="Arial"/>
          <w:i/>
        </w:rPr>
        <w:t xml:space="preserve"> </w:t>
      </w:r>
      <w:r w:rsidRPr="00685B4A">
        <w:rPr>
          <w:rFonts w:ascii="Arial" w:hAnsi="Arial" w:cs="Arial"/>
          <w:i/>
          <w:lang w:val="en-US"/>
        </w:rPr>
        <w:t>Payables</w:t>
      </w:r>
      <w:r w:rsidRPr="003D34E9">
        <w:rPr>
          <w:rFonts w:ascii="Arial" w:hAnsi="Arial" w:cs="Arial"/>
          <w:i/>
        </w:rPr>
        <w:tab/>
      </w:r>
      <w:r w:rsidRPr="003D34E9">
        <w:rPr>
          <w:rFonts w:ascii="Arial" w:hAnsi="Arial" w:cs="Arial"/>
          <w:i/>
        </w:rPr>
        <w:tab/>
        <w:t>0,15$</w:t>
      </w:r>
    </w:p>
    <w:p w:rsidR="00DC1705" w:rsidRPr="003D34E9" w:rsidRDefault="00DC1705" w:rsidP="00DC1705">
      <w:pPr>
        <w:jc w:val="both"/>
        <w:rPr>
          <w:rFonts w:ascii="Arial" w:hAnsi="Arial" w:cs="Arial"/>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b/>
          <w:i/>
        </w:rPr>
      </w:pPr>
      <w:r w:rsidRPr="00685B4A">
        <w:rPr>
          <w:rFonts w:ascii="Arial" w:hAnsi="Arial" w:cs="Arial"/>
          <w:b/>
          <w:i/>
        </w:rPr>
        <w:t xml:space="preserve">Пример </w:t>
      </w:r>
      <w:r>
        <w:rPr>
          <w:rFonts w:ascii="Arial" w:hAnsi="Arial" w:cs="Arial"/>
          <w:b/>
          <w:i/>
        </w:rPr>
        <w:t>2</w:t>
      </w:r>
      <w:r w:rsidRPr="00685B4A">
        <w:rPr>
          <w:rFonts w:ascii="Arial" w:hAnsi="Arial" w:cs="Arial"/>
          <w:b/>
          <w:i/>
        </w:rPr>
        <w:t>: Отражение доходов по транзитному трафику (Компания - агент)</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roofErr w:type="spellStart"/>
      <w:proofErr w:type="gramStart"/>
      <w:r w:rsidRPr="00685B4A">
        <w:rPr>
          <w:rFonts w:ascii="Arial" w:hAnsi="Arial" w:cs="Arial"/>
          <w:i/>
          <w:lang w:val="en-US"/>
        </w:rPr>
        <w:t>Sonafon</w:t>
      </w:r>
      <w:proofErr w:type="spellEnd"/>
      <w:r w:rsidRPr="00685B4A">
        <w:rPr>
          <w:rFonts w:ascii="Arial" w:hAnsi="Arial" w:cs="Arial"/>
          <w:i/>
        </w:rPr>
        <w:t xml:space="preserve">,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 xml:space="preserve"> и Компания заключили трехстороннее соглашение согласно которому Компания обязана маршрутизировать трафик </w:t>
      </w:r>
      <w:proofErr w:type="spellStart"/>
      <w:r w:rsidRPr="00685B4A">
        <w:rPr>
          <w:rFonts w:ascii="Arial" w:hAnsi="Arial" w:cs="Arial"/>
          <w:i/>
          <w:lang w:val="en-US"/>
        </w:rPr>
        <w:t>Sonafon</w:t>
      </w:r>
      <w:proofErr w:type="spellEnd"/>
      <w:r w:rsidRPr="00685B4A">
        <w:rPr>
          <w:rFonts w:ascii="Arial" w:hAnsi="Arial" w:cs="Arial"/>
          <w:i/>
        </w:rPr>
        <w:t xml:space="preserve"> в компанию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w:t>
      </w:r>
      <w:proofErr w:type="gramEnd"/>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xml:space="preserve">Условия данного Примера аналогичны Примеру 8, кроме того, что Компания не может выбирать маршрут прохождения </w:t>
      </w:r>
      <w:proofErr w:type="gramStart"/>
      <w:r w:rsidRPr="00685B4A">
        <w:rPr>
          <w:rFonts w:ascii="Arial" w:hAnsi="Arial" w:cs="Arial"/>
          <w:i/>
        </w:rPr>
        <w:t>трафика</w:t>
      </w:r>
      <w:proofErr w:type="gramEnd"/>
      <w:r w:rsidRPr="00685B4A">
        <w:rPr>
          <w:rFonts w:ascii="Arial" w:hAnsi="Arial" w:cs="Arial"/>
          <w:i/>
        </w:rPr>
        <w:t xml:space="preserve"> и обязана маршрутизировать трафик </w:t>
      </w:r>
      <w:r w:rsidRPr="00685B4A">
        <w:rPr>
          <w:rFonts w:ascii="Arial" w:hAnsi="Arial" w:cs="Arial"/>
          <w:i/>
        </w:rPr>
        <w:lastRenderedPageBreak/>
        <w:t xml:space="preserve">через компанию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 xml:space="preserve">. По соглашению Компании гарантировано фиксированное вознаграждение в размере 0,05$ за каждый звонок от компании </w:t>
      </w:r>
      <w:proofErr w:type="spellStart"/>
      <w:r w:rsidRPr="00685B4A">
        <w:rPr>
          <w:rFonts w:ascii="Arial" w:hAnsi="Arial" w:cs="Arial"/>
          <w:i/>
          <w:lang w:val="en-US"/>
        </w:rPr>
        <w:t>Sonofon</w:t>
      </w:r>
      <w:proofErr w:type="spellEnd"/>
      <w:r w:rsidRPr="00685B4A">
        <w:rPr>
          <w:rFonts w:ascii="Arial" w:hAnsi="Arial" w:cs="Arial"/>
          <w:i/>
        </w:rPr>
        <w:t>.</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xml:space="preserve">Анализ договора: </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 xml:space="preserve">Цена звонка устанавливается совместно всеми сторонами договора. Компания не несет кредитных рисков, ей гарантировано фиксированное вознаграждение за каждый звонок. Компания не может устанавливать самый эффективный маршрут для трафика, она обязана маршрутизировать звонок через компанию </w:t>
      </w:r>
      <w:r w:rsidRPr="00685B4A">
        <w:rPr>
          <w:rFonts w:ascii="Arial" w:hAnsi="Arial" w:cs="Arial"/>
          <w:i/>
          <w:lang w:val="en-US"/>
        </w:rPr>
        <w:t>China</w:t>
      </w:r>
      <w:r w:rsidRPr="00685B4A">
        <w:rPr>
          <w:rFonts w:ascii="Arial" w:hAnsi="Arial" w:cs="Arial"/>
          <w:i/>
        </w:rPr>
        <w:t xml:space="preserve"> </w:t>
      </w:r>
      <w:r w:rsidRPr="00685B4A">
        <w:rPr>
          <w:rFonts w:ascii="Arial" w:hAnsi="Arial" w:cs="Arial"/>
          <w:i/>
          <w:lang w:val="en-US"/>
        </w:rPr>
        <w:t>Telecom</w:t>
      </w:r>
      <w:r w:rsidRPr="00685B4A">
        <w:rPr>
          <w:rFonts w:ascii="Arial" w:hAnsi="Arial" w:cs="Arial"/>
          <w:i/>
        </w:rPr>
        <w:t>.</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Вывод: Компания должна отражать чистую выручку</w:t>
      </w: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p>
    <w:p w:rsidR="00DC1705" w:rsidRPr="00685B4A"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Отражение выручки и затрат:</w:t>
      </w:r>
    </w:p>
    <w:p w:rsidR="00DC1705" w:rsidRPr="00DC1705" w:rsidRDefault="009E3E7B" w:rsidP="00DC1705">
      <w:pPr>
        <w:pBdr>
          <w:top w:val="single" w:sz="4" w:space="1" w:color="auto"/>
          <w:left w:val="single" w:sz="4" w:space="4" w:color="auto"/>
          <w:bottom w:val="single" w:sz="4" w:space="1" w:color="auto"/>
          <w:right w:val="single" w:sz="4" w:space="4" w:color="auto"/>
        </w:pBdr>
        <w:jc w:val="both"/>
        <w:rPr>
          <w:rFonts w:ascii="Arial" w:hAnsi="Arial" w:cs="Arial"/>
          <w:i/>
          <w:lang w:val="en-US"/>
        </w:rPr>
      </w:pPr>
      <w:r>
        <w:rPr>
          <w:rFonts w:ascii="Arial" w:hAnsi="Arial" w:cs="Arial"/>
          <w:i/>
        </w:rPr>
        <w:t>Дт</w:t>
      </w:r>
      <w:r w:rsidR="00DC1705" w:rsidRPr="00DC1705">
        <w:rPr>
          <w:rFonts w:ascii="Arial" w:hAnsi="Arial" w:cs="Arial"/>
          <w:i/>
          <w:lang w:val="en-US"/>
        </w:rPr>
        <w:t xml:space="preserve"> </w:t>
      </w:r>
      <w:r w:rsidR="00DC1705" w:rsidRPr="00685B4A">
        <w:rPr>
          <w:rFonts w:ascii="Arial" w:hAnsi="Arial" w:cs="Arial"/>
          <w:i/>
          <w:lang w:val="en-US"/>
        </w:rPr>
        <w:t>Accrued</w:t>
      </w:r>
      <w:r w:rsidR="00DC1705" w:rsidRPr="00DC1705">
        <w:rPr>
          <w:rFonts w:ascii="Arial" w:hAnsi="Arial" w:cs="Arial"/>
          <w:i/>
          <w:lang w:val="en-US"/>
        </w:rPr>
        <w:t xml:space="preserve"> </w:t>
      </w:r>
      <w:r w:rsidR="00DC1705" w:rsidRPr="00685B4A">
        <w:rPr>
          <w:rFonts w:ascii="Arial" w:hAnsi="Arial" w:cs="Arial"/>
          <w:i/>
          <w:lang w:val="en-US"/>
        </w:rPr>
        <w:t>sale</w:t>
      </w:r>
      <w:r w:rsidR="00DC1705" w:rsidRPr="00DC1705">
        <w:rPr>
          <w:rFonts w:ascii="Arial" w:hAnsi="Arial" w:cs="Arial"/>
          <w:i/>
          <w:lang w:val="en-US"/>
        </w:rPr>
        <w:tab/>
      </w:r>
      <w:r w:rsidR="00DC1705" w:rsidRPr="00DC1705">
        <w:rPr>
          <w:rFonts w:ascii="Arial" w:hAnsi="Arial" w:cs="Arial"/>
          <w:i/>
          <w:lang w:val="en-US"/>
        </w:rPr>
        <w:tab/>
        <w:t>0,05$</w:t>
      </w:r>
    </w:p>
    <w:p w:rsidR="00DC1705" w:rsidRPr="00DC1705" w:rsidRDefault="00DC1705" w:rsidP="00DC1705">
      <w:pPr>
        <w:pBdr>
          <w:top w:val="single" w:sz="4" w:space="1" w:color="auto"/>
          <w:left w:val="single" w:sz="4" w:space="4" w:color="auto"/>
          <w:bottom w:val="single" w:sz="4" w:space="1" w:color="auto"/>
          <w:right w:val="single" w:sz="4" w:space="4" w:color="auto"/>
        </w:pBdr>
        <w:jc w:val="both"/>
        <w:rPr>
          <w:rFonts w:ascii="Arial" w:hAnsi="Arial" w:cs="Arial"/>
          <w:i/>
          <w:lang w:val="en-US"/>
        </w:rPr>
      </w:pPr>
      <w:r w:rsidRPr="00DC1705">
        <w:rPr>
          <w:rFonts w:ascii="Arial" w:hAnsi="Arial" w:cs="Arial"/>
          <w:i/>
          <w:lang w:val="en-US"/>
        </w:rPr>
        <w:tab/>
      </w:r>
      <w:r w:rsidRPr="00DC1705">
        <w:rPr>
          <w:rFonts w:ascii="Arial" w:hAnsi="Arial" w:cs="Arial"/>
          <w:i/>
          <w:lang w:val="en-US"/>
        </w:rPr>
        <w:tab/>
      </w:r>
      <w:r w:rsidRPr="00DC1705">
        <w:rPr>
          <w:rFonts w:ascii="Arial" w:hAnsi="Arial" w:cs="Arial"/>
          <w:i/>
          <w:lang w:val="en-US"/>
        </w:rPr>
        <w:tab/>
      </w:r>
      <w:r w:rsidR="009E3E7B">
        <w:rPr>
          <w:rFonts w:ascii="Arial" w:hAnsi="Arial" w:cs="Arial"/>
          <w:i/>
        </w:rPr>
        <w:t>Кт</w:t>
      </w:r>
      <w:r w:rsidRPr="00DC1705">
        <w:rPr>
          <w:rFonts w:ascii="Arial" w:hAnsi="Arial" w:cs="Arial"/>
          <w:i/>
          <w:lang w:val="en-US"/>
        </w:rPr>
        <w:t xml:space="preserve"> </w:t>
      </w:r>
      <w:r w:rsidRPr="00685B4A">
        <w:rPr>
          <w:rFonts w:ascii="Arial" w:hAnsi="Arial" w:cs="Arial"/>
          <w:i/>
          <w:lang w:val="en-US"/>
        </w:rPr>
        <w:t>Service</w:t>
      </w:r>
      <w:r w:rsidRPr="00DC1705">
        <w:rPr>
          <w:rFonts w:ascii="Arial" w:hAnsi="Arial" w:cs="Arial"/>
          <w:i/>
          <w:lang w:val="en-US"/>
        </w:rPr>
        <w:t xml:space="preserve"> </w:t>
      </w:r>
      <w:r w:rsidRPr="00685B4A">
        <w:rPr>
          <w:rFonts w:ascii="Arial" w:hAnsi="Arial" w:cs="Arial"/>
          <w:i/>
          <w:lang w:val="en-US"/>
        </w:rPr>
        <w:t>revenue</w:t>
      </w:r>
      <w:r w:rsidRPr="00DC1705">
        <w:rPr>
          <w:rFonts w:ascii="Arial" w:hAnsi="Arial" w:cs="Arial"/>
          <w:i/>
          <w:lang w:val="en-US"/>
        </w:rPr>
        <w:tab/>
      </w:r>
      <w:r w:rsidRPr="00DC1705">
        <w:rPr>
          <w:rFonts w:ascii="Arial" w:hAnsi="Arial" w:cs="Arial"/>
          <w:i/>
          <w:lang w:val="en-US"/>
        </w:rPr>
        <w:tab/>
        <w:t>0,05$</w:t>
      </w:r>
    </w:p>
    <w:p w:rsidR="003D34E9" w:rsidRPr="00C90C1D" w:rsidRDefault="003D34E9" w:rsidP="003D34E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 сравнению с РСБУ, в МСФО выручка признаётся по несколько усложнённой схеме, момент признания выручки и ее оценка отличается в двух системах учета, что может приводить к значительным различиям в основном показателе Отчета о прибылях и убытках – выручке. На основе выручки производится анализ отчётности, и при использовании МСФО он гораздо больше приближен к действительности из-за большей гибкости стандартов. Это, безусловно, благоприятно сказывается на инвестиционной привлекательности компании при ведении грамотного бухгалтерского учёта, и позволяет отчётности российских телекоммуникационных предприятий быть сравнимыми с отчётностями иностранных корпораций. </w:t>
      </w:r>
    </w:p>
    <w:p w:rsidR="00C90C1D" w:rsidRDefault="00C90C1D" w:rsidP="00C90C1D">
      <w:pPr>
        <w:pStyle w:val="3"/>
      </w:pPr>
      <w:r w:rsidRPr="00C90C1D">
        <w:t xml:space="preserve">Численное и структурное сравнение выручки по МСФО и РСБУ </w:t>
      </w:r>
    </w:p>
    <w:p w:rsidR="00C90C1D" w:rsidRDefault="00C90C1D" w:rsidP="00C90C1D">
      <w:pPr>
        <w:spacing w:line="360" w:lineRule="auto"/>
        <w:ind w:firstLine="567"/>
        <w:jc w:val="both"/>
        <w:rPr>
          <w:rFonts w:ascii="Times New Roman" w:hAnsi="Times New Roman" w:cs="Times New Roman"/>
          <w:sz w:val="28"/>
          <w:szCs w:val="28"/>
        </w:rPr>
      </w:pPr>
      <w:r w:rsidRPr="00C90C1D">
        <w:rPr>
          <w:rFonts w:ascii="Times New Roman" w:hAnsi="Times New Roman" w:cs="Times New Roman"/>
          <w:sz w:val="28"/>
          <w:szCs w:val="28"/>
        </w:rPr>
        <w:t>Для того</w:t>
      </w:r>
      <w:proofErr w:type="gramStart"/>
      <w:r w:rsidRPr="00C90C1D">
        <w:rPr>
          <w:rFonts w:ascii="Times New Roman" w:hAnsi="Times New Roman" w:cs="Times New Roman"/>
          <w:sz w:val="28"/>
          <w:szCs w:val="28"/>
        </w:rPr>
        <w:t>,</w:t>
      </w:r>
      <w:proofErr w:type="gramEnd"/>
      <w:r w:rsidRPr="00C90C1D">
        <w:rPr>
          <w:rFonts w:ascii="Times New Roman" w:hAnsi="Times New Roman" w:cs="Times New Roman"/>
          <w:sz w:val="28"/>
          <w:szCs w:val="28"/>
        </w:rPr>
        <w:t xml:space="preserve"> чтобы на практике показать различия в признании выручки по РСБУ и МСФО, </w:t>
      </w:r>
      <w:r w:rsidR="0097401D">
        <w:rPr>
          <w:rFonts w:ascii="Times New Roman" w:hAnsi="Times New Roman" w:cs="Times New Roman"/>
          <w:sz w:val="28"/>
          <w:szCs w:val="28"/>
        </w:rPr>
        <w:t xml:space="preserve">необходимо сравнить две отчётности одной компании за один период. Однако для Компании «Вымпелком» этого сделать невозможно, так как отчётность по РСБУ охватывает только операции </w:t>
      </w:r>
      <w:proofErr w:type="spellStart"/>
      <w:proofErr w:type="gramStart"/>
      <w:r w:rsidR="0097401D">
        <w:rPr>
          <w:rFonts w:ascii="Times New Roman" w:hAnsi="Times New Roman" w:cs="Times New Roman"/>
          <w:sz w:val="28"/>
          <w:szCs w:val="28"/>
        </w:rPr>
        <w:lastRenderedPageBreak/>
        <w:t>бизнес-единицы</w:t>
      </w:r>
      <w:proofErr w:type="spellEnd"/>
      <w:proofErr w:type="gramEnd"/>
      <w:r w:rsidR="0097401D">
        <w:rPr>
          <w:rFonts w:ascii="Times New Roman" w:hAnsi="Times New Roman" w:cs="Times New Roman"/>
          <w:sz w:val="28"/>
          <w:szCs w:val="28"/>
        </w:rPr>
        <w:t xml:space="preserve"> «Россия», в то время как отчётность по МСФО консолидирует операции группы компаний в СНГ и азиатских странах. </w:t>
      </w:r>
    </w:p>
    <w:p w:rsidR="0097401D" w:rsidRDefault="0097401D" w:rsidP="00C90C1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связано в первую очередь с назначением отчётности. Отчётность по МСФО удобнее готовить в консолидированном виде для того, чтобы потенциальным инвесторам легче было разобраться в структуре компании и взглянуть на её деятельность с более широкого ракурса. Отчётность же по РСБУ нет смысла консолидировать, так как она, по сути, нужна лишь российским контролирующим органам. </w:t>
      </w:r>
    </w:p>
    <w:p w:rsidR="0097401D" w:rsidRPr="0097401D" w:rsidRDefault="0097401D" w:rsidP="00C90C1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То есть, в случае «</w:t>
      </w:r>
      <w:proofErr w:type="spellStart"/>
      <w:r>
        <w:rPr>
          <w:rFonts w:ascii="Times New Roman" w:hAnsi="Times New Roman" w:cs="Times New Roman"/>
          <w:sz w:val="28"/>
          <w:szCs w:val="28"/>
        </w:rPr>
        <w:t>Вымпелкома</w:t>
      </w:r>
      <w:proofErr w:type="spellEnd"/>
      <w:r>
        <w:rPr>
          <w:rFonts w:ascii="Times New Roman" w:hAnsi="Times New Roman" w:cs="Times New Roman"/>
          <w:sz w:val="28"/>
          <w:szCs w:val="28"/>
        </w:rPr>
        <w:t>» отчётности по разным стандартам несут не только разное назначение, но и охватывают разные сегменты компании.</w:t>
      </w:r>
    </w:p>
    <w:p w:rsidR="00804D00" w:rsidRPr="0097401D" w:rsidRDefault="0097401D" w:rsidP="0097401D">
      <w:pPr>
        <w:pStyle w:val="3"/>
      </w:pPr>
      <w:r w:rsidRPr="0097401D">
        <w:t>Особенности принятия к учёту основных сре</w:t>
      </w:r>
      <w:proofErr w:type="gramStart"/>
      <w:r w:rsidRPr="0097401D">
        <w:t>дств в к</w:t>
      </w:r>
      <w:proofErr w:type="gramEnd"/>
      <w:r w:rsidRPr="0097401D">
        <w:t>омпании «Вымпелком»</w:t>
      </w:r>
    </w:p>
    <w:p w:rsidR="0097401D" w:rsidRDefault="0097401D" w:rsidP="00C90C1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прошлой главе я описала некоторые принципы принятия к учёту основных средств, общие для всех телекоммуникационных компаний, ведущих отчётность в соответствии с МСФО. Сейчас я хочу осветить один из частных вопросов, требующих значительной доли бухгалтерского суждения, на примере компании «Вымпелком» – капитализацию процентов.</w:t>
      </w: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Проценты включаются в историческую стоимость квалифицируемых активов, если их  приобретение требует финансирования или требуется время для доведения их до состояния пригодного к использованию и если эффект от капитализации процентов будет существенным.</w:t>
      </w: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 xml:space="preserve">Под квалифицируемыми активами понимаются активы, подготовка </w:t>
      </w:r>
      <w:proofErr w:type="gramStart"/>
      <w:r w:rsidRPr="0097401D">
        <w:rPr>
          <w:rFonts w:ascii="Times New Roman" w:hAnsi="Times New Roman" w:cs="Times New Roman"/>
          <w:sz w:val="28"/>
          <w:szCs w:val="28"/>
        </w:rPr>
        <w:t>которых</w:t>
      </w:r>
      <w:proofErr w:type="gramEnd"/>
      <w:r w:rsidRPr="0097401D">
        <w:rPr>
          <w:rFonts w:ascii="Times New Roman" w:hAnsi="Times New Roman" w:cs="Times New Roman"/>
          <w:sz w:val="28"/>
          <w:szCs w:val="28"/>
        </w:rPr>
        <w:t xml:space="preserve"> к использованию по назначению или для продажи обязательно требует значительного времени. Вымпелком не осуществляется заимствования для индивидуального приобретения активов. Компания не может выделить займы, взятые специально на приобретение квалифицируемых активов и прочие займы, поэтому компания использует </w:t>
      </w:r>
      <w:r w:rsidRPr="0097401D">
        <w:rPr>
          <w:rFonts w:ascii="Times New Roman" w:hAnsi="Times New Roman" w:cs="Times New Roman"/>
          <w:sz w:val="28"/>
          <w:szCs w:val="28"/>
        </w:rPr>
        <w:lastRenderedPageBreak/>
        <w:t xml:space="preserve">эффективную ставку капитализации. Вымпелком определяет период времени </w:t>
      </w:r>
      <w:proofErr w:type="gramStart"/>
      <w:r w:rsidRPr="0097401D">
        <w:rPr>
          <w:rFonts w:ascii="Times New Roman" w:hAnsi="Times New Roman" w:cs="Times New Roman"/>
          <w:sz w:val="28"/>
          <w:szCs w:val="28"/>
        </w:rPr>
        <w:t>значительным</w:t>
      </w:r>
      <w:proofErr w:type="gramEnd"/>
      <w:r w:rsidRPr="0097401D">
        <w:rPr>
          <w:rFonts w:ascii="Times New Roman" w:hAnsi="Times New Roman" w:cs="Times New Roman"/>
          <w:sz w:val="28"/>
          <w:szCs w:val="28"/>
        </w:rPr>
        <w:t>, если он равен или больше 6 месяцев для строительства не индивидуального объекта ОС, а общего проекта.</w:t>
      </w:r>
    </w:p>
    <w:p w:rsidR="0097401D" w:rsidRPr="00685B4A" w:rsidRDefault="0097401D" w:rsidP="0097401D">
      <w:pPr>
        <w:jc w:val="both"/>
        <w:rPr>
          <w:rFonts w:ascii="Arial" w:hAnsi="Arial" w:cs="Arial"/>
        </w:rPr>
      </w:pPr>
    </w:p>
    <w:p w:rsidR="0097401D" w:rsidRPr="00685B4A" w:rsidRDefault="0097401D" w:rsidP="0097401D">
      <w:pPr>
        <w:pBdr>
          <w:top w:val="single" w:sz="4" w:space="1" w:color="auto"/>
          <w:left w:val="single" w:sz="4" w:space="4" w:color="auto"/>
          <w:bottom w:val="single" w:sz="4" w:space="1" w:color="auto"/>
          <w:right w:val="single" w:sz="4" w:space="4" w:color="auto"/>
        </w:pBdr>
        <w:jc w:val="both"/>
        <w:rPr>
          <w:rFonts w:ascii="Arial" w:hAnsi="Arial" w:cs="Arial"/>
          <w:b/>
          <w:i/>
        </w:rPr>
      </w:pPr>
      <w:r w:rsidRPr="00685B4A">
        <w:rPr>
          <w:rFonts w:ascii="Arial" w:hAnsi="Arial" w:cs="Arial"/>
          <w:b/>
          <w:i/>
        </w:rPr>
        <w:t>Пример</w:t>
      </w:r>
    </w:p>
    <w:p w:rsidR="0097401D" w:rsidRPr="00685B4A" w:rsidRDefault="0097401D" w:rsidP="0097401D">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Компания приобрела 3</w:t>
      </w:r>
      <w:r w:rsidRPr="00685B4A">
        <w:rPr>
          <w:rFonts w:ascii="Arial" w:hAnsi="Arial" w:cs="Arial"/>
          <w:i/>
          <w:lang w:val="en-GB"/>
        </w:rPr>
        <w:t>G</w:t>
      </w:r>
      <w:r w:rsidRPr="00685B4A">
        <w:rPr>
          <w:rFonts w:ascii="Arial" w:hAnsi="Arial" w:cs="Arial"/>
          <w:i/>
        </w:rPr>
        <w:t xml:space="preserve"> лицензию. Руководство компании намеревается использовать лицензию для оказания услуг. Строительство сети началось в момент приобретения лицензии.</w:t>
      </w:r>
    </w:p>
    <w:p w:rsidR="0097401D" w:rsidRPr="00685B4A" w:rsidRDefault="0097401D" w:rsidP="0097401D">
      <w:pPr>
        <w:pBdr>
          <w:top w:val="single" w:sz="4" w:space="1" w:color="auto"/>
          <w:left w:val="single" w:sz="4" w:space="4" w:color="auto"/>
          <w:bottom w:val="single" w:sz="4" w:space="1" w:color="auto"/>
          <w:right w:val="single" w:sz="4" w:space="4" w:color="auto"/>
        </w:pBdr>
        <w:jc w:val="both"/>
        <w:rPr>
          <w:rFonts w:ascii="Arial" w:hAnsi="Arial" w:cs="Arial"/>
          <w:i/>
        </w:rPr>
      </w:pPr>
    </w:p>
    <w:p w:rsidR="0097401D" w:rsidRPr="00685B4A" w:rsidRDefault="0097401D" w:rsidP="0097401D">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Необходимо ли капитализировать проценты от займа на приобретение лицензии до готовности сети к использованию?</w:t>
      </w:r>
    </w:p>
    <w:p w:rsidR="0097401D" w:rsidRPr="00685B4A" w:rsidRDefault="0097401D" w:rsidP="0097401D">
      <w:pPr>
        <w:pBdr>
          <w:top w:val="single" w:sz="4" w:space="1" w:color="auto"/>
          <w:left w:val="single" w:sz="4" w:space="4" w:color="auto"/>
          <w:bottom w:val="single" w:sz="4" w:space="1" w:color="auto"/>
          <w:right w:val="single" w:sz="4" w:space="4" w:color="auto"/>
        </w:pBdr>
        <w:jc w:val="both"/>
        <w:rPr>
          <w:rFonts w:ascii="Arial" w:hAnsi="Arial" w:cs="Arial"/>
          <w:i/>
        </w:rPr>
      </w:pPr>
    </w:p>
    <w:p w:rsidR="0097401D" w:rsidRPr="00685B4A" w:rsidRDefault="0097401D" w:rsidP="0097401D">
      <w:pPr>
        <w:pBdr>
          <w:top w:val="single" w:sz="4" w:space="1" w:color="auto"/>
          <w:left w:val="single" w:sz="4" w:space="4" w:color="auto"/>
          <w:bottom w:val="single" w:sz="4" w:space="1" w:color="auto"/>
          <w:right w:val="single" w:sz="4" w:space="4" w:color="auto"/>
        </w:pBdr>
        <w:jc w:val="both"/>
        <w:rPr>
          <w:rFonts w:ascii="Arial" w:hAnsi="Arial" w:cs="Arial"/>
          <w:i/>
        </w:rPr>
      </w:pPr>
      <w:r w:rsidRPr="00685B4A">
        <w:rPr>
          <w:rFonts w:ascii="Arial" w:hAnsi="Arial" w:cs="Arial"/>
          <w:i/>
        </w:rPr>
        <w:t>Приобретенная лицензия является частью инвестиций в сеть и соответствует определению квалифицируемого актива. Проценты от займа на приобретение лицензии необходимо капитализировать до готовности сети к эксплуатации.</w:t>
      </w:r>
    </w:p>
    <w:p w:rsidR="0097401D" w:rsidRPr="00685B4A" w:rsidRDefault="0097401D" w:rsidP="0097401D">
      <w:pPr>
        <w:jc w:val="both"/>
        <w:rPr>
          <w:rFonts w:ascii="Arial" w:hAnsi="Arial" w:cs="Arial"/>
        </w:rPr>
      </w:pP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Не относятся к квалифицируемым активам:</w:t>
      </w: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  активы готовые к эксплуатации или уже находящиеся в эксплуатации;</w:t>
      </w: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 активы, которые не будут использоваться для деятельности, направленной на получение дохода;</w:t>
      </w: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  активы, не учитываемые на балансе;</w:t>
      </w: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  активы, производство которых находится в рутинном процессе.</w:t>
      </w:r>
    </w:p>
    <w:p w:rsidR="0097401D" w:rsidRPr="0097401D" w:rsidRDefault="0097401D" w:rsidP="0097401D">
      <w:pPr>
        <w:spacing w:line="360" w:lineRule="auto"/>
        <w:ind w:firstLine="567"/>
        <w:jc w:val="both"/>
        <w:rPr>
          <w:rFonts w:ascii="Times New Roman" w:hAnsi="Times New Roman" w:cs="Times New Roman"/>
          <w:sz w:val="28"/>
          <w:szCs w:val="28"/>
        </w:rPr>
      </w:pP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К капитализируемым процентам относятся:</w:t>
      </w:r>
    </w:p>
    <w:p w:rsidR="0097401D" w:rsidRPr="0097401D" w:rsidRDefault="0097401D" w:rsidP="0097401D">
      <w:pPr>
        <w:pStyle w:val="a3"/>
        <w:numPr>
          <w:ilvl w:val="0"/>
          <w:numId w:val="21"/>
        </w:numPr>
        <w:spacing w:before="240" w:line="360" w:lineRule="auto"/>
        <w:ind w:left="0" w:firstLine="851"/>
        <w:jc w:val="both"/>
        <w:rPr>
          <w:rFonts w:ascii="Times New Roman" w:hAnsi="Times New Roman" w:cs="Times New Roman"/>
          <w:sz w:val="28"/>
          <w:szCs w:val="28"/>
        </w:rPr>
      </w:pPr>
      <w:r w:rsidRPr="0097401D">
        <w:rPr>
          <w:rFonts w:ascii="Times New Roman" w:hAnsi="Times New Roman" w:cs="Times New Roman"/>
          <w:sz w:val="28"/>
          <w:szCs w:val="28"/>
        </w:rPr>
        <w:t>Проценты по банковским кредитам;</w:t>
      </w:r>
    </w:p>
    <w:p w:rsidR="0097401D" w:rsidRPr="0097401D" w:rsidRDefault="0097401D" w:rsidP="0097401D">
      <w:pPr>
        <w:pStyle w:val="a3"/>
        <w:numPr>
          <w:ilvl w:val="0"/>
          <w:numId w:val="21"/>
        </w:numPr>
        <w:spacing w:before="240" w:line="360" w:lineRule="auto"/>
        <w:ind w:left="0" w:firstLine="851"/>
        <w:jc w:val="both"/>
        <w:rPr>
          <w:rFonts w:ascii="Times New Roman" w:hAnsi="Times New Roman" w:cs="Times New Roman"/>
          <w:sz w:val="28"/>
          <w:szCs w:val="28"/>
        </w:rPr>
      </w:pPr>
      <w:r w:rsidRPr="0097401D">
        <w:rPr>
          <w:rFonts w:ascii="Times New Roman" w:hAnsi="Times New Roman" w:cs="Times New Roman"/>
          <w:sz w:val="28"/>
          <w:szCs w:val="28"/>
        </w:rPr>
        <w:t xml:space="preserve">Проценты по займам, полученным от сторонних компаний; </w:t>
      </w:r>
    </w:p>
    <w:p w:rsidR="0097401D" w:rsidRPr="0097401D" w:rsidRDefault="0097401D" w:rsidP="0097401D">
      <w:pPr>
        <w:pStyle w:val="a3"/>
        <w:numPr>
          <w:ilvl w:val="0"/>
          <w:numId w:val="21"/>
        </w:numPr>
        <w:spacing w:before="240" w:line="360" w:lineRule="auto"/>
        <w:ind w:left="0" w:firstLine="851"/>
        <w:jc w:val="both"/>
        <w:rPr>
          <w:rFonts w:ascii="Times New Roman" w:hAnsi="Times New Roman" w:cs="Times New Roman"/>
          <w:sz w:val="28"/>
          <w:szCs w:val="28"/>
        </w:rPr>
      </w:pPr>
      <w:r w:rsidRPr="0097401D">
        <w:rPr>
          <w:rFonts w:ascii="Times New Roman" w:hAnsi="Times New Roman" w:cs="Times New Roman"/>
          <w:sz w:val="28"/>
          <w:szCs w:val="28"/>
        </w:rPr>
        <w:t xml:space="preserve">Проценты по займам, полученным от компаний </w:t>
      </w:r>
      <w:r>
        <w:rPr>
          <w:rFonts w:ascii="Times New Roman" w:hAnsi="Times New Roman" w:cs="Times New Roman"/>
          <w:sz w:val="28"/>
          <w:szCs w:val="28"/>
        </w:rPr>
        <w:t>г</w:t>
      </w:r>
      <w:r w:rsidRPr="0097401D">
        <w:rPr>
          <w:rFonts w:ascii="Times New Roman" w:hAnsi="Times New Roman" w:cs="Times New Roman"/>
          <w:sz w:val="28"/>
          <w:szCs w:val="28"/>
        </w:rPr>
        <w:t>руппы;</w:t>
      </w:r>
    </w:p>
    <w:p w:rsidR="0097401D" w:rsidRPr="0097401D" w:rsidRDefault="0097401D" w:rsidP="0097401D">
      <w:pPr>
        <w:pStyle w:val="a3"/>
        <w:numPr>
          <w:ilvl w:val="0"/>
          <w:numId w:val="21"/>
        </w:numPr>
        <w:spacing w:before="240" w:line="360" w:lineRule="auto"/>
        <w:ind w:left="0" w:firstLine="851"/>
        <w:jc w:val="both"/>
        <w:rPr>
          <w:rFonts w:ascii="Times New Roman" w:hAnsi="Times New Roman" w:cs="Times New Roman"/>
          <w:sz w:val="28"/>
          <w:szCs w:val="28"/>
        </w:rPr>
      </w:pPr>
      <w:r w:rsidRPr="0097401D">
        <w:rPr>
          <w:rFonts w:ascii="Times New Roman" w:hAnsi="Times New Roman" w:cs="Times New Roman"/>
          <w:sz w:val="28"/>
          <w:szCs w:val="28"/>
        </w:rPr>
        <w:t>Проценты по лизинговым договорам;</w:t>
      </w:r>
    </w:p>
    <w:p w:rsidR="0097401D" w:rsidRPr="0097401D" w:rsidRDefault="0097401D" w:rsidP="0097401D">
      <w:pPr>
        <w:pStyle w:val="a3"/>
        <w:numPr>
          <w:ilvl w:val="0"/>
          <w:numId w:val="21"/>
        </w:numPr>
        <w:spacing w:before="240" w:line="360" w:lineRule="auto"/>
        <w:ind w:left="0" w:firstLine="851"/>
        <w:jc w:val="both"/>
        <w:rPr>
          <w:rFonts w:ascii="Times New Roman" w:hAnsi="Times New Roman" w:cs="Times New Roman"/>
          <w:sz w:val="28"/>
          <w:szCs w:val="28"/>
        </w:rPr>
      </w:pPr>
      <w:r w:rsidRPr="0097401D">
        <w:rPr>
          <w:rFonts w:ascii="Times New Roman" w:hAnsi="Times New Roman" w:cs="Times New Roman"/>
          <w:sz w:val="28"/>
          <w:szCs w:val="28"/>
        </w:rPr>
        <w:lastRenderedPageBreak/>
        <w:t>Проценты по прочим займам;</w:t>
      </w:r>
    </w:p>
    <w:p w:rsidR="0097401D" w:rsidRPr="0097401D" w:rsidRDefault="0097401D" w:rsidP="0097401D">
      <w:pPr>
        <w:pStyle w:val="a3"/>
        <w:numPr>
          <w:ilvl w:val="0"/>
          <w:numId w:val="21"/>
        </w:numPr>
        <w:spacing w:before="240" w:line="360" w:lineRule="auto"/>
        <w:ind w:left="0" w:firstLine="851"/>
        <w:jc w:val="both"/>
        <w:rPr>
          <w:rFonts w:ascii="Times New Roman" w:hAnsi="Times New Roman" w:cs="Times New Roman"/>
          <w:sz w:val="28"/>
          <w:szCs w:val="28"/>
        </w:rPr>
      </w:pPr>
      <w:r w:rsidRPr="0097401D">
        <w:rPr>
          <w:rFonts w:ascii="Times New Roman" w:hAnsi="Times New Roman" w:cs="Times New Roman"/>
          <w:sz w:val="28"/>
          <w:szCs w:val="28"/>
        </w:rPr>
        <w:t>Эффект от переоценки займов в иностранной валюте.</w:t>
      </w:r>
    </w:p>
    <w:p w:rsidR="0097401D" w:rsidRPr="0097401D" w:rsidRDefault="0097401D" w:rsidP="0097401D">
      <w:pPr>
        <w:spacing w:line="360" w:lineRule="auto"/>
        <w:ind w:firstLine="567"/>
        <w:jc w:val="both"/>
        <w:rPr>
          <w:rFonts w:ascii="Times New Roman" w:hAnsi="Times New Roman" w:cs="Times New Roman"/>
          <w:sz w:val="28"/>
          <w:szCs w:val="28"/>
        </w:rPr>
      </w:pPr>
      <w:r w:rsidRPr="0097401D">
        <w:rPr>
          <w:rFonts w:ascii="Times New Roman" w:hAnsi="Times New Roman" w:cs="Times New Roman"/>
          <w:sz w:val="28"/>
          <w:szCs w:val="28"/>
        </w:rPr>
        <w:t>Капитализация процентов осуществляется в течение периода времени, который характеризуется тремя факторами:</w:t>
      </w:r>
    </w:p>
    <w:p w:rsidR="0097401D" w:rsidRPr="0097401D" w:rsidRDefault="0097401D" w:rsidP="0097401D">
      <w:pPr>
        <w:numPr>
          <w:ilvl w:val="0"/>
          <w:numId w:val="27"/>
        </w:numPr>
        <w:tabs>
          <w:tab w:val="clear" w:pos="360"/>
          <w:tab w:val="num" w:pos="1068"/>
        </w:tabs>
        <w:spacing w:after="120" w:line="360" w:lineRule="auto"/>
        <w:ind w:left="0" w:firstLine="0"/>
        <w:jc w:val="both"/>
        <w:rPr>
          <w:rFonts w:ascii="Times New Roman" w:hAnsi="Times New Roman" w:cs="Times New Roman"/>
          <w:sz w:val="28"/>
          <w:szCs w:val="28"/>
        </w:rPr>
      </w:pPr>
      <w:r w:rsidRPr="0097401D">
        <w:rPr>
          <w:rFonts w:ascii="Times New Roman" w:hAnsi="Times New Roman" w:cs="Times New Roman"/>
          <w:sz w:val="28"/>
          <w:szCs w:val="28"/>
        </w:rPr>
        <w:t>Период начинается при наличии:</w:t>
      </w:r>
    </w:p>
    <w:p w:rsidR="0097401D" w:rsidRPr="0097401D" w:rsidRDefault="0097401D" w:rsidP="0097401D">
      <w:pPr>
        <w:numPr>
          <w:ilvl w:val="0"/>
          <w:numId w:val="24"/>
        </w:numPr>
        <w:tabs>
          <w:tab w:val="clear" w:pos="720"/>
          <w:tab w:val="num" w:pos="1070"/>
        </w:tabs>
        <w:spacing w:after="120" w:line="360" w:lineRule="auto"/>
        <w:ind w:left="0" w:firstLine="0"/>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фактически понесенных затрат в отношении квалифицируемых активов в компании;</w:t>
      </w:r>
    </w:p>
    <w:p w:rsidR="0097401D" w:rsidRPr="0097401D" w:rsidRDefault="0097401D" w:rsidP="0097401D">
      <w:pPr>
        <w:numPr>
          <w:ilvl w:val="0"/>
          <w:numId w:val="24"/>
        </w:numPr>
        <w:tabs>
          <w:tab w:val="clear" w:pos="720"/>
          <w:tab w:val="num" w:pos="1070"/>
        </w:tabs>
        <w:spacing w:after="120" w:line="360" w:lineRule="auto"/>
        <w:ind w:left="0" w:firstLine="0"/>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фактического осуществления мер по подготовке квалифицируемых активов к эксплуатации в компании;</w:t>
      </w:r>
    </w:p>
    <w:p w:rsidR="0097401D" w:rsidRPr="0097401D" w:rsidRDefault="0097401D" w:rsidP="0097401D">
      <w:pPr>
        <w:numPr>
          <w:ilvl w:val="0"/>
          <w:numId w:val="24"/>
        </w:numPr>
        <w:tabs>
          <w:tab w:val="clear" w:pos="720"/>
          <w:tab w:val="num" w:pos="1070"/>
        </w:tabs>
        <w:spacing w:after="120" w:line="360" w:lineRule="auto"/>
        <w:ind w:left="0" w:firstLine="0"/>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фактического начисления процентов компанией;</w:t>
      </w:r>
    </w:p>
    <w:p w:rsidR="0097401D" w:rsidRPr="0097401D" w:rsidRDefault="0097401D" w:rsidP="0097401D">
      <w:pPr>
        <w:numPr>
          <w:ilvl w:val="0"/>
          <w:numId w:val="27"/>
        </w:numPr>
        <w:tabs>
          <w:tab w:val="clear" w:pos="360"/>
          <w:tab w:val="num" w:pos="1068"/>
        </w:tabs>
        <w:spacing w:after="120" w:line="360" w:lineRule="auto"/>
        <w:ind w:left="0" w:firstLine="0"/>
        <w:jc w:val="both"/>
        <w:rPr>
          <w:rFonts w:ascii="Times New Roman" w:hAnsi="Times New Roman" w:cs="Times New Roman"/>
          <w:sz w:val="28"/>
          <w:szCs w:val="28"/>
        </w:rPr>
      </w:pPr>
      <w:r w:rsidRPr="0097401D">
        <w:rPr>
          <w:rFonts w:ascii="Times New Roman" w:hAnsi="Times New Roman" w:cs="Times New Roman"/>
          <w:sz w:val="28"/>
          <w:szCs w:val="28"/>
        </w:rPr>
        <w:t>Период продолжается при одновременном выполнении перечисленных выше условий;</w:t>
      </w:r>
    </w:p>
    <w:p w:rsidR="0097401D" w:rsidRDefault="0097401D" w:rsidP="0097401D">
      <w:pPr>
        <w:numPr>
          <w:ilvl w:val="0"/>
          <w:numId w:val="27"/>
        </w:numPr>
        <w:tabs>
          <w:tab w:val="clear" w:pos="360"/>
          <w:tab w:val="num" w:pos="1068"/>
        </w:tabs>
        <w:spacing w:after="120" w:line="360" w:lineRule="auto"/>
        <w:ind w:left="0" w:firstLine="0"/>
        <w:jc w:val="both"/>
        <w:rPr>
          <w:rFonts w:ascii="Times New Roman" w:hAnsi="Times New Roman" w:cs="Times New Roman"/>
          <w:sz w:val="28"/>
          <w:szCs w:val="28"/>
        </w:rPr>
      </w:pPr>
      <w:r w:rsidRPr="0097401D">
        <w:rPr>
          <w:rFonts w:ascii="Times New Roman" w:hAnsi="Times New Roman" w:cs="Times New Roman"/>
          <w:sz w:val="28"/>
          <w:szCs w:val="28"/>
        </w:rPr>
        <w:t xml:space="preserve">Период заканчивается при готовности квалифицируемого актива к эксплуатации (независимо от того, введен объект в эксплуатацию или нет). </w:t>
      </w:r>
    </w:p>
    <w:p w:rsidR="0097401D" w:rsidRPr="0097401D" w:rsidRDefault="0097401D" w:rsidP="0097401D">
      <w:pPr>
        <w:pStyle w:val="3"/>
      </w:pPr>
      <w:r w:rsidRPr="0097401D">
        <w:t>Амортизация основных сре</w:t>
      </w:r>
      <w:proofErr w:type="gramStart"/>
      <w:r w:rsidRPr="0097401D">
        <w:t>дств в к</w:t>
      </w:r>
      <w:proofErr w:type="gramEnd"/>
      <w:r w:rsidRPr="0097401D">
        <w:t>омпании «Вымпелком»</w:t>
      </w:r>
    </w:p>
    <w:p w:rsidR="0097401D" w:rsidRPr="0097401D" w:rsidRDefault="0097401D" w:rsidP="0097401D">
      <w:pPr>
        <w:numPr>
          <w:ilvl w:val="0"/>
          <w:numId w:val="24"/>
        </w:numPr>
        <w:tabs>
          <w:tab w:val="clear" w:pos="720"/>
          <w:tab w:val="num" w:pos="1070"/>
        </w:tabs>
        <w:spacing w:after="120" w:line="360" w:lineRule="auto"/>
        <w:ind w:left="0" w:firstLine="0"/>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Основные средства подлежат амортизации, начиная с момента готовности основных средств к эксплуатации. Амортизация не прекращается, когда основное средство не эксплуатируется.</w:t>
      </w:r>
    </w:p>
    <w:p w:rsidR="0097401D" w:rsidRPr="0097401D" w:rsidRDefault="0097401D" w:rsidP="0097401D">
      <w:pPr>
        <w:numPr>
          <w:ilvl w:val="0"/>
          <w:numId w:val="24"/>
        </w:numPr>
        <w:tabs>
          <w:tab w:val="clear" w:pos="720"/>
          <w:tab w:val="num" w:pos="1070"/>
        </w:tabs>
        <w:spacing w:after="120" w:line="360" w:lineRule="auto"/>
        <w:ind w:left="0" w:firstLine="0"/>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Амортизация основных средств – систематичное и регулярное списание стоимости объекта основных сре</w:t>
      </w:r>
      <w:proofErr w:type="gramStart"/>
      <w:r w:rsidRPr="0097401D">
        <w:rPr>
          <w:rFonts w:ascii="Times New Roman" w:hAnsi="Times New Roman" w:cs="Times New Roman"/>
          <w:bCs/>
          <w:color w:val="000000"/>
          <w:sz w:val="28"/>
          <w:szCs w:val="28"/>
        </w:rPr>
        <w:t>дств в т</w:t>
      </w:r>
      <w:proofErr w:type="gramEnd"/>
      <w:r w:rsidRPr="0097401D">
        <w:rPr>
          <w:rFonts w:ascii="Times New Roman" w:hAnsi="Times New Roman" w:cs="Times New Roman"/>
          <w:bCs/>
          <w:color w:val="000000"/>
          <w:sz w:val="28"/>
          <w:szCs w:val="28"/>
        </w:rPr>
        <w:t>ечение срока его полезного использования.</w:t>
      </w:r>
    </w:p>
    <w:p w:rsidR="0097401D" w:rsidRPr="0097401D" w:rsidRDefault="0097401D" w:rsidP="0097401D">
      <w:pPr>
        <w:numPr>
          <w:ilvl w:val="0"/>
          <w:numId w:val="24"/>
        </w:numPr>
        <w:tabs>
          <w:tab w:val="clear" w:pos="720"/>
          <w:tab w:val="num" w:pos="1070"/>
        </w:tabs>
        <w:spacing w:after="120" w:line="360" w:lineRule="auto"/>
        <w:ind w:left="0" w:firstLine="0"/>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Сроком полезного использования является период, в течение которого эксплуатация объекта основных сре</w:t>
      </w:r>
      <w:proofErr w:type="gramStart"/>
      <w:r w:rsidRPr="0097401D">
        <w:rPr>
          <w:rFonts w:ascii="Times New Roman" w:hAnsi="Times New Roman" w:cs="Times New Roman"/>
          <w:bCs/>
          <w:color w:val="000000"/>
          <w:sz w:val="28"/>
          <w:szCs w:val="28"/>
        </w:rPr>
        <w:t>дств пр</w:t>
      </w:r>
      <w:proofErr w:type="gramEnd"/>
      <w:r w:rsidRPr="0097401D">
        <w:rPr>
          <w:rFonts w:ascii="Times New Roman" w:hAnsi="Times New Roman" w:cs="Times New Roman"/>
          <w:bCs/>
          <w:color w:val="000000"/>
          <w:sz w:val="28"/>
          <w:szCs w:val="28"/>
        </w:rPr>
        <w:t xml:space="preserve">иносит экономические выгоды (доход). Для целей МСФО компаниям рекомендуется использовать следующие сроки полезного использования по категориям основных средств </w:t>
      </w:r>
    </w:p>
    <w:p w:rsidR="0097401D" w:rsidRPr="00685B4A" w:rsidRDefault="0097401D" w:rsidP="0097401D">
      <w:pPr>
        <w:tabs>
          <w:tab w:val="right" w:pos="4500"/>
        </w:tabs>
        <w:spacing w:before="120"/>
        <w:jc w:val="both"/>
        <w:rPr>
          <w:rFonts w:ascii="Arial" w:hAnsi="Arial" w:cs="Arial"/>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4394"/>
        <w:gridCol w:w="2698"/>
      </w:tblGrid>
      <w:tr w:rsidR="0097401D" w:rsidRPr="00685B4A" w:rsidTr="008B2D23">
        <w:trPr>
          <w:trHeight w:val="450"/>
        </w:trPr>
        <w:tc>
          <w:tcPr>
            <w:tcW w:w="2977" w:type="dxa"/>
            <w:shd w:val="clear" w:color="auto" w:fill="auto"/>
            <w:vAlign w:val="bottom"/>
          </w:tcPr>
          <w:p w:rsidR="0097401D" w:rsidRPr="00685B4A" w:rsidRDefault="0097401D" w:rsidP="008B2D23">
            <w:pPr>
              <w:jc w:val="both"/>
              <w:rPr>
                <w:rFonts w:ascii="Arial" w:hAnsi="Arial" w:cs="Arial"/>
                <w:b/>
                <w:bCs/>
                <w:sz w:val="20"/>
              </w:rPr>
            </w:pPr>
            <w:r w:rsidRPr="00685B4A">
              <w:rPr>
                <w:rFonts w:ascii="Arial" w:hAnsi="Arial" w:cs="Arial"/>
                <w:b/>
                <w:bCs/>
                <w:sz w:val="20"/>
              </w:rPr>
              <w:lastRenderedPageBreak/>
              <w:t>Вид основных средств</w:t>
            </w:r>
          </w:p>
        </w:tc>
        <w:tc>
          <w:tcPr>
            <w:tcW w:w="4394" w:type="dxa"/>
            <w:shd w:val="clear" w:color="auto" w:fill="auto"/>
            <w:vAlign w:val="bottom"/>
          </w:tcPr>
          <w:p w:rsidR="0097401D" w:rsidRPr="00685B4A" w:rsidRDefault="0097401D" w:rsidP="008B2D23">
            <w:pPr>
              <w:jc w:val="both"/>
              <w:rPr>
                <w:rFonts w:ascii="Arial" w:hAnsi="Arial" w:cs="Arial"/>
                <w:b/>
                <w:bCs/>
                <w:sz w:val="20"/>
              </w:rPr>
            </w:pPr>
            <w:r w:rsidRPr="00685B4A">
              <w:rPr>
                <w:rFonts w:ascii="Arial" w:hAnsi="Arial" w:cs="Arial"/>
                <w:b/>
                <w:bCs/>
                <w:sz w:val="20"/>
              </w:rPr>
              <w:t>Амортизационная категория основных средств</w:t>
            </w:r>
          </w:p>
        </w:tc>
        <w:tc>
          <w:tcPr>
            <w:tcW w:w="2698" w:type="dxa"/>
            <w:shd w:val="clear" w:color="auto" w:fill="auto"/>
            <w:vAlign w:val="bottom"/>
          </w:tcPr>
          <w:p w:rsidR="0097401D" w:rsidRPr="00685B4A" w:rsidRDefault="0097401D" w:rsidP="008B2D23">
            <w:pPr>
              <w:jc w:val="both"/>
              <w:rPr>
                <w:rFonts w:ascii="Arial" w:hAnsi="Arial" w:cs="Arial"/>
                <w:b/>
                <w:bCs/>
                <w:sz w:val="20"/>
              </w:rPr>
            </w:pPr>
            <w:r w:rsidRPr="00685B4A">
              <w:rPr>
                <w:rFonts w:ascii="Arial" w:hAnsi="Arial" w:cs="Arial"/>
                <w:b/>
                <w:bCs/>
                <w:sz w:val="20"/>
              </w:rPr>
              <w:t>Срок полезного использования</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r w:rsidRPr="00685B4A">
              <w:rPr>
                <w:rFonts w:ascii="Arial" w:hAnsi="Arial" w:cs="Arial"/>
                <w:sz w:val="20"/>
              </w:rPr>
              <w:t>Здания и сооружения</w:t>
            </w: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Здания и сооружения</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20 лет</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Ремонт зданий</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20 лет</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r w:rsidRPr="00685B4A">
              <w:rPr>
                <w:rFonts w:ascii="Arial" w:hAnsi="Arial" w:cs="Arial"/>
                <w:sz w:val="20"/>
              </w:rPr>
              <w:t>Сооружения связи</w:t>
            </w: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Сооружения связи - линейно-кабельные</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9</w:t>
            </w:r>
            <w:r w:rsidRPr="00685B4A">
              <w:rPr>
                <w:rFonts w:ascii="Arial" w:hAnsi="Arial" w:cs="Arial"/>
                <w:sz w:val="20"/>
                <w:lang w:val="en-US"/>
              </w:rPr>
              <w:t>,5</w:t>
            </w:r>
            <w:r w:rsidRPr="00685B4A">
              <w:rPr>
                <w:rFonts w:ascii="Arial" w:hAnsi="Arial" w:cs="Arial"/>
                <w:sz w:val="20"/>
              </w:rPr>
              <w:t xml:space="preserve"> лет</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Сооружения связи - прочее</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20 лет</w:t>
            </w:r>
          </w:p>
        </w:tc>
      </w:tr>
      <w:tr w:rsidR="0097401D" w:rsidRPr="00685B4A" w:rsidTr="008B2D23">
        <w:trPr>
          <w:trHeight w:val="450"/>
        </w:trPr>
        <w:tc>
          <w:tcPr>
            <w:tcW w:w="2977" w:type="dxa"/>
            <w:shd w:val="clear" w:color="auto" w:fill="auto"/>
          </w:tcPr>
          <w:p w:rsidR="0097401D" w:rsidRPr="00685B4A" w:rsidRDefault="0097401D" w:rsidP="008B2D23">
            <w:pPr>
              <w:jc w:val="both"/>
              <w:rPr>
                <w:rFonts w:ascii="Arial" w:hAnsi="Arial" w:cs="Arial"/>
                <w:sz w:val="20"/>
              </w:rPr>
            </w:pPr>
            <w:r w:rsidRPr="00685B4A">
              <w:rPr>
                <w:rFonts w:ascii="Arial" w:hAnsi="Arial" w:cs="Arial"/>
                <w:sz w:val="20"/>
              </w:rPr>
              <w:t>Телекоммуникационное оборудование</w:t>
            </w: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Передаточные устройства</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6 лет</w:t>
            </w:r>
          </w:p>
        </w:tc>
      </w:tr>
      <w:tr w:rsidR="0097401D" w:rsidRPr="00685B4A" w:rsidTr="008B2D23">
        <w:trPr>
          <w:trHeight w:val="450"/>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Оборудование двусторонней радиосвязи</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7 лет</w:t>
            </w:r>
          </w:p>
        </w:tc>
      </w:tr>
      <w:tr w:rsidR="0097401D" w:rsidRPr="00685B4A" w:rsidTr="008B2D23">
        <w:trPr>
          <w:trHeight w:val="450"/>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Оборудование радиорелейных линий связи (РРЛ)</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9</w:t>
            </w:r>
            <w:r w:rsidRPr="00685B4A">
              <w:rPr>
                <w:rFonts w:ascii="Arial" w:hAnsi="Arial" w:cs="Arial"/>
                <w:sz w:val="20"/>
                <w:lang w:val="en-US"/>
              </w:rPr>
              <w:t>,5</w:t>
            </w:r>
            <w:r w:rsidRPr="00685B4A">
              <w:rPr>
                <w:rFonts w:ascii="Arial" w:hAnsi="Arial" w:cs="Arial"/>
                <w:sz w:val="20"/>
              </w:rPr>
              <w:t xml:space="preserve"> лет</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 xml:space="preserve">Оборудование кабельных линий связи </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9</w:t>
            </w:r>
            <w:r w:rsidRPr="00685B4A">
              <w:rPr>
                <w:rFonts w:ascii="Arial" w:hAnsi="Arial" w:cs="Arial"/>
                <w:sz w:val="20"/>
                <w:lang w:val="en-US"/>
              </w:rPr>
              <w:t>,5</w:t>
            </w:r>
            <w:r w:rsidRPr="00685B4A">
              <w:rPr>
                <w:rFonts w:ascii="Arial" w:hAnsi="Arial" w:cs="Arial"/>
                <w:sz w:val="20"/>
              </w:rPr>
              <w:t xml:space="preserve"> лет</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Энергетическое оборудование</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7 лет</w:t>
            </w:r>
          </w:p>
        </w:tc>
      </w:tr>
      <w:tr w:rsidR="0097401D" w:rsidRPr="00685B4A" w:rsidTr="008B2D23">
        <w:trPr>
          <w:trHeight w:val="450"/>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Прочее телекоммуникационное и вспомогательное оборудование</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7 лет</w:t>
            </w:r>
          </w:p>
        </w:tc>
      </w:tr>
      <w:tr w:rsidR="0097401D" w:rsidRPr="00685B4A" w:rsidTr="008B2D23">
        <w:trPr>
          <w:trHeight w:val="450"/>
        </w:trPr>
        <w:tc>
          <w:tcPr>
            <w:tcW w:w="2977" w:type="dxa"/>
            <w:shd w:val="clear" w:color="auto" w:fill="auto"/>
          </w:tcPr>
          <w:p w:rsidR="0097401D" w:rsidRPr="00685B4A" w:rsidRDefault="0097401D" w:rsidP="008B2D23">
            <w:pPr>
              <w:jc w:val="both"/>
              <w:rPr>
                <w:rFonts w:ascii="Arial" w:hAnsi="Arial" w:cs="Arial"/>
                <w:sz w:val="20"/>
              </w:rPr>
            </w:pPr>
            <w:r w:rsidRPr="00685B4A">
              <w:rPr>
                <w:rFonts w:ascii="Arial" w:hAnsi="Arial" w:cs="Arial"/>
                <w:sz w:val="20"/>
              </w:rPr>
              <w:t>Автомобили и транспортные средства</w:t>
            </w: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Автотранспорт</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5 лет</w:t>
            </w:r>
          </w:p>
        </w:tc>
      </w:tr>
      <w:tr w:rsidR="0097401D" w:rsidRPr="00685B4A" w:rsidTr="008B2D23">
        <w:trPr>
          <w:trHeight w:val="450"/>
        </w:trPr>
        <w:tc>
          <w:tcPr>
            <w:tcW w:w="2977" w:type="dxa"/>
            <w:shd w:val="clear" w:color="auto" w:fill="auto"/>
          </w:tcPr>
          <w:p w:rsidR="0097401D" w:rsidRPr="00685B4A" w:rsidRDefault="0097401D" w:rsidP="008B2D23">
            <w:pPr>
              <w:jc w:val="both"/>
              <w:rPr>
                <w:rFonts w:ascii="Arial" w:hAnsi="Arial" w:cs="Arial"/>
                <w:sz w:val="20"/>
              </w:rPr>
            </w:pPr>
            <w:r w:rsidRPr="00685B4A">
              <w:rPr>
                <w:rFonts w:ascii="Arial" w:hAnsi="Arial" w:cs="Arial"/>
                <w:sz w:val="20"/>
              </w:rPr>
              <w:t>Офисное и измерительное оборудование</w:t>
            </w: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Измерительное оборудование</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6 лет</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Рекламные щиты и установки</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10 лет</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Прочее офисное оборудование</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6 лет</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r w:rsidRPr="00685B4A">
              <w:rPr>
                <w:rFonts w:ascii="Arial" w:hAnsi="Arial" w:cs="Arial"/>
                <w:sz w:val="20"/>
              </w:rPr>
              <w:t>Прочее оборудование</w:t>
            </w: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Оборудование столовой</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3 года</w:t>
            </w:r>
          </w:p>
        </w:tc>
      </w:tr>
      <w:tr w:rsidR="0097401D" w:rsidRPr="00685B4A" w:rsidTr="008B2D23">
        <w:trPr>
          <w:trHeight w:val="255"/>
        </w:trPr>
        <w:tc>
          <w:tcPr>
            <w:tcW w:w="2977" w:type="dxa"/>
            <w:shd w:val="clear" w:color="auto" w:fill="auto"/>
          </w:tcPr>
          <w:p w:rsidR="0097401D" w:rsidRPr="00685B4A" w:rsidRDefault="0097401D" w:rsidP="008B2D23">
            <w:pPr>
              <w:jc w:val="both"/>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Мебель</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10 лет</w:t>
            </w:r>
          </w:p>
        </w:tc>
      </w:tr>
      <w:tr w:rsidR="0097401D" w:rsidRPr="00685B4A" w:rsidTr="008B2D23">
        <w:trPr>
          <w:trHeight w:val="255"/>
        </w:trPr>
        <w:tc>
          <w:tcPr>
            <w:tcW w:w="2977" w:type="dxa"/>
            <w:shd w:val="clear" w:color="auto" w:fill="auto"/>
            <w:noWrap/>
            <w:vAlign w:val="bottom"/>
          </w:tcPr>
          <w:p w:rsidR="0097401D" w:rsidRPr="00685B4A" w:rsidRDefault="0097401D" w:rsidP="008B2D23">
            <w:pPr>
              <w:rPr>
                <w:rFonts w:ascii="Arial" w:hAnsi="Arial" w:cs="Arial"/>
                <w:sz w:val="20"/>
              </w:rPr>
            </w:pP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Прочее оборудование</w:t>
            </w:r>
          </w:p>
        </w:tc>
        <w:tc>
          <w:tcPr>
            <w:tcW w:w="2698" w:type="dxa"/>
            <w:shd w:val="clear" w:color="auto" w:fill="auto"/>
          </w:tcPr>
          <w:p w:rsidR="0097401D" w:rsidRPr="00685B4A" w:rsidRDefault="0097401D" w:rsidP="008B2D23">
            <w:pPr>
              <w:jc w:val="right"/>
              <w:rPr>
                <w:rFonts w:ascii="Arial" w:hAnsi="Arial" w:cs="Arial"/>
                <w:sz w:val="20"/>
              </w:rPr>
            </w:pPr>
            <w:r w:rsidRPr="00685B4A">
              <w:rPr>
                <w:rFonts w:ascii="Arial" w:hAnsi="Arial" w:cs="Arial"/>
                <w:sz w:val="20"/>
              </w:rPr>
              <w:t>6 лет</w:t>
            </w:r>
          </w:p>
        </w:tc>
      </w:tr>
      <w:tr w:rsidR="0097401D" w:rsidRPr="00685B4A" w:rsidTr="008B2D23">
        <w:trPr>
          <w:trHeight w:val="675"/>
        </w:trPr>
        <w:tc>
          <w:tcPr>
            <w:tcW w:w="2977" w:type="dxa"/>
            <w:shd w:val="clear" w:color="auto" w:fill="auto"/>
          </w:tcPr>
          <w:p w:rsidR="0097401D" w:rsidRPr="00685B4A" w:rsidRDefault="0097401D" w:rsidP="008B2D23">
            <w:pPr>
              <w:jc w:val="both"/>
              <w:rPr>
                <w:rFonts w:ascii="Arial" w:hAnsi="Arial" w:cs="Arial"/>
                <w:sz w:val="20"/>
              </w:rPr>
            </w:pPr>
            <w:r w:rsidRPr="00685B4A">
              <w:rPr>
                <w:rFonts w:ascii="Arial" w:hAnsi="Arial" w:cs="Arial"/>
                <w:sz w:val="20"/>
              </w:rPr>
              <w:t>Оборудование, полученное в лизинг</w:t>
            </w:r>
          </w:p>
        </w:tc>
        <w:tc>
          <w:tcPr>
            <w:tcW w:w="4394" w:type="dxa"/>
            <w:shd w:val="clear" w:color="auto" w:fill="auto"/>
          </w:tcPr>
          <w:p w:rsidR="0097401D" w:rsidRPr="00685B4A" w:rsidRDefault="0097401D" w:rsidP="008B2D23">
            <w:pPr>
              <w:rPr>
                <w:rFonts w:ascii="Arial" w:hAnsi="Arial" w:cs="Arial"/>
                <w:sz w:val="20"/>
              </w:rPr>
            </w:pPr>
            <w:r w:rsidRPr="00685B4A">
              <w:rPr>
                <w:rFonts w:ascii="Arial" w:hAnsi="Arial" w:cs="Arial"/>
                <w:sz w:val="20"/>
              </w:rPr>
              <w:t>Оборудование и здания, полученное в лизинг</w:t>
            </w:r>
          </w:p>
        </w:tc>
        <w:tc>
          <w:tcPr>
            <w:tcW w:w="2698" w:type="dxa"/>
            <w:shd w:val="clear" w:color="auto" w:fill="auto"/>
          </w:tcPr>
          <w:p w:rsidR="0097401D" w:rsidRPr="00685B4A" w:rsidRDefault="0097401D" w:rsidP="008B2D23">
            <w:pPr>
              <w:jc w:val="both"/>
              <w:rPr>
                <w:rFonts w:ascii="Arial" w:hAnsi="Arial" w:cs="Arial"/>
                <w:sz w:val="20"/>
              </w:rPr>
            </w:pPr>
            <w:r w:rsidRPr="00685B4A">
              <w:rPr>
                <w:rFonts w:ascii="Arial" w:hAnsi="Arial" w:cs="Arial"/>
                <w:sz w:val="20"/>
              </w:rPr>
              <w:t>Определяется исходя из условий лизинга (</w:t>
            </w:r>
            <w:proofErr w:type="gramStart"/>
            <w:r w:rsidRPr="00685B4A">
              <w:rPr>
                <w:rFonts w:ascii="Arial" w:hAnsi="Arial" w:cs="Arial"/>
                <w:sz w:val="20"/>
              </w:rPr>
              <w:t>см</w:t>
            </w:r>
            <w:proofErr w:type="gramEnd"/>
            <w:r w:rsidRPr="00685B4A">
              <w:rPr>
                <w:rFonts w:ascii="Arial" w:hAnsi="Arial" w:cs="Arial"/>
                <w:sz w:val="20"/>
              </w:rPr>
              <w:t>. раздел «Финансовый лизинг (</w:t>
            </w:r>
            <w:proofErr w:type="spellStart"/>
            <w:r w:rsidRPr="00685B4A">
              <w:rPr>
                <w:rFonts w:ascii="Arial" w:hAnsi="Arial" w:cs="Arial"/>
                <w:sz w:val="20"/>
              </w:rPr>
              <w:t>Capital</w:t>
            </w:r>
            <w:proofErr w:type="spellEnd"/>
            <w:r w:rsidRPr="00685B4A">
              <w:rPr>
                <w:rFonts w:ascii="Arial" w:hAnsi="Arial" w:cs="Arial"/>
                <w:sz w:val="20"/>
              </w:rPr>
              <w:t xml:space="preserve"> </w:t>
            </w:r>
            <w:proofErr w:type="spellStart"/>
            <w:r w:rsidRPr="00685B4A">
              <w:rPr>
                <w:rFonts w:ascii="Arial" w:hAnsi="Arial" w:cs="Arial"/>
                <w:sz w:val="20"/>
              </w:rPr>
              <w:t>lease</w:t>
            </w:r>
            <w:proofErr w:type="spellEnd"/>
            <w:r w:rsidRPr="00685B4A">
              <w:rPr>
                <w:rFonts w:ascii="Arial" w:hAnsi="Arial" w:cs="Arial"/>
                <w:sz w:val="20"/>
              </w:rPr>
              <w:t>)»)</w:t>
            </w:r>
          </w:p>
        </w:tc>
      </w:tr>
    </w:tbl>
    <w:p w:rsidR="0097401D" w:rsidRPr="0097401D" w:rsidRDefault="0097401D" w:rsidP="0097401D">
      <w:pPr>
        <w:spacing w:after="120" w:line="360" w:lineRule="auto"/>
        <w:ind w:firstLine="567"/>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 xml:space="preserve">В соответствии </w:t>
      </w:r>
      <w:proofErr w:type="spellStart"/>
      <w:r w:rsidRPr="0097401D">
        <w:rPr>
          <w:rFonts w:ascii="Times New Roman" w:hAnsi="Times New Roman" w:cs="Times New Roman"/>
          <w:bCs/>
          <w:color w:val="000000"/>
          <w:sz w:val="28"/>
          <w:szCs w:val="28"/>
        </w:rPr>
        <w:t>c</w:t>
      </w:r>
      <w:proofErr w:type="spellEnd"/>
      <w:r w:rsidRPr="0097401D">
        <w:rPr>
          <w:rFonts w:ascii="Times New Roman" w:hAnsi="Times New Roman" w:cs="Times New Roman"/>
          <w:bCs/>
          <w:color w:val="000000"/>
          <w:sz w:val="28"/>
          <w:szCs w:val="28"/>
        </w:rPr>
        <w:t xml:space="preserve"> МСФО земельные участки не подлежат амортизации, однако, относящиеся к ним улучшения (например, строительство дорожного покрытия, ограждений) и построенные на территории этих земельных участков здания и сооружения подлежат начислению амортизации линейным способом в течение срока их полезного использования. </w:t>
      </w:r>
    </w:p>
    <w:p w:rsidR="0097401D" w:rsidRPr="0097401D" w:rsidRDefault="0097401D" w:rsidP="0097401D">
      <w:pPr>
        <w:tabs>
          <w:tab w:val="num" w:pos="1070"/>
        </w:tabs>
        <w:spacing w:after="120" w:line="360" w:lineRule="auto"/>
        <w:ind w:firstLine="567"/>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lastRenderedPageBreak/>
        <w:t>В случае если компания считает необходимым применение других сроков полезного использования для объектов основных средств, необходимо получить письменное разрешение Службы методологии финансового учета и в дальнейшем руководствоваться полученными инструкциями.</w:t>
      </w:r>
    </w:p>
    <w:p w:rsidR="0097401D" w:rsidRPr="0097401D" w:rsidRDefault="0097401D" w:rsidP="0097401D">
      <w:pPr>
        <w:tabs>
          <w:tab w:val="num" w:pos="1070"/>
        </w:tabs>
        <w:spacing w:after="120" w:line="360" w:lineRule="auto"/>
        <w:ind w:firstLine="567"/>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Для расчета начисленной амортизации по всем группам основных средств используется линейный способ:</w:t>
      </w:r>
    </w:p>
    <w:tbl>
      <w:tblPr>
        <w:tblW w:w="10038"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753"/>
        <w:gridCol w:w="525"/>
        <w:gridCol w:w="5760"/>
      </w:tblGrid>
      <w:tr w:rsidR="0097401D" w:rsidRPr="00685B4A" w:rsidTr="008B2D23">
        <w:tc>
          <w:tcPr>
            <w:tcW w:w="3753" w:type="dxa"/>
          </w:tcPr>
          <w:p w:rsidR="0097401D" w:rsidRPr="00685B4A" w:rsidRDefault="0097401D" w:rsidP="008B2D23">
            <w:pPr>
              <w:spacing w:before="120"/>
              <w:jc w:val="both"/>
              <w:rPr>
                <w:rFonts w:ascii="Arial" w:hAnsi="Arial" w:cs="Arial"/>
              </w:rPr>
            </w:pPr>
            <w:r w:rsidRPr="00685B4A">
              <w:rPr>
                <w:rFonts w:ascii="Arial" w:hAnsi="Arial" w:cs="Arial"/>
              </w:rPr>
              <w:t xml:space="preserve">Амортизация </w:t>
            </w:r>
            <w:proofErr w:type="gramStart"/>
            <w:r w:rsidRPr="00685B4A">
              <w:rPr>
                <w:rFonts w:ascii="Arial" w:hAnsi="Arial" w:cs="Arial"/>
              </w:rPr>
              <w:t>за</w:t>
            </w:r>
            <w:proofErr w:type="gramEnd"/>
          </w:p>
          <w:p w:rsidR="0097401D" w:rsidRPr="00685B4A" w:rsidRDefault="0097401D" w:rsidP="008B2D23">
            <w:pPr>
              <w:jc w:val="both"/>
              <w:rPr>
                <w:rFonts w:ascii="Arial" w:hAnsi="Arial" w:cs="Arial"/>
              </w:rPr>
            </w:pPr>
            <w:r w:rsidRPr="00685B4A">
              <w:rPr>
                <w:rFonts w:ascii="Arial" w:hAnsi="Arial" w:cs="Arial"/>
              </w:rPr>
              <w:t>отчетный период</w:t>
            </w:r>
          </w:p>
        </w:tc>
        <w:tc>
          <w:tcPr>
            <w:tcW w:w="525" w:type="dxa"/>
            <w:vAlign w:val="center"/>
          </w:tcPr>
          <w:p w:rsidR="0097401D" w:rsidRPr="00685B4A" w:rsidRDefault="0097401D" w:rsidP="008B2D23">
            <w:pPr>
              <w:jc w:val="both"/>
              <w:rPr>
                <w:rFonts w:ascii="Arial" w:hAnsi="Arial" w:cs="Arial"/>
              </w:rPr>
            </w:pPr>
            <w:r w:rsidRPr="00685B4A">
              <w:rPr>
                <w:rFonts w:ascii="Arial" w:hAnsi="Arial" w:cs="Arial"/>
              </w:rPr>
              <w:t>=</w:t>
            </w:r>
          </w:p>
        </w:tc>
        <w:tc>
          <w:tcPr>
            <w:tcW w:w="5760" w:type="dxa"/>
          </w:tcPr>
          <w:p w:rsidR="0097401D" w:rsidRPr="00685B4A" w:rsidRDefault="0097401D" w:rsidP="008B2D23">
            <w:pPr>
              <w:spacing w:before="120"/>
              <w:jc w:val="both"/>
              <w:rPr>
                <w:rFonts w:ascii="Arial" w:hAnsi="Arial" w:cs="Arial"/>
                <w:u w:val="single"/>
              </w:rPr>
            </w:pPr>
            <w:proofErr w:type="spellStart"/>
            <w:r w:rsidRPr="00685B4A">
              <w:rPr>
                <w:rFonts w:ascii="Arial" w:hAnsi="Arial" w:cs="Arial"/>
                <w:u w:val="single"/>
              </w:rPr>
              <w:t>__Первоначальная</w:t>
            </w:r>
            <w:proofErr w:type="spellEnd"/>
            <w:r w:rsidRPr="00685B4A">
              <w:rPr>
                <w:rFonts w:ascii="Arial" w:hAnsi="Arial" w:cs="Arial"/>
                <w:u w:val="single"/>
              </w:rPr>
              <w:t xml:space="preserve"> балансовая стоимость__</w:t>
            </w:r>
          </w:p>
          <w:p w:rsidR="0097401D" w:rsidRPr="00685B4A" w:rsidRDefault="0097401D" w:rsidP="008B2D23">
            <w:pPr>
              <w:jc w:val="both"/>
              <w:rPr>
                <w:rFonts w:ascii="Arial" w:hAnsi="Arial" w:cs="Arial"/>
              </w:rPr>
            </w:pPr>
            <w:r w:rsidRPr="00685B4A">
              <w:rPr>
                <w:rFonts w:ascii="Arial" w:hAnsi="Arial" w:cs="Arial"/>
              </w:rPr>
              <w:t>Срок полезного использования</w:t>
            </w:r>
          </w:p>
        </w:tc>
      </w:tr>
    </w:tbl>
    <w:p w:rsidR="0097401D" w:rsidRPr="00685B4A" w:rsidRDefault="0097401D" w:rsidP="0097401D">
      <w:pPr>
        <w:jc w:val="both"/>
        <w:rPr>
          <w:rFonts w:ascii="Arial" w:hAnsi="Arial" w:cs="Arial"/>
          <w:b/>
          <w:i/>
        </w:rPr>
      </w:pP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8"/>
      </w:tblGrid>
      <w:tr w:rsidR="0097401D" w:rsidRPr="00DB5C41" w:rsidTr="008B2D23">
        <w:trPr>
          <w:trHeight w:val="360"/>
        </w:trPr>
        <w:tc>
          <w:tcPr>
            <w:tcW w:w="10068" w:type="dxa"/>
          </w:tcPr>
          <w:p w:rsidR="0097401D" w:rsidRPr="00685B4A" w:rsidRDefault="0097401D" w:rsidP="008B2D23">
            <w:pPr>
              <w:spacing w:before="120"/>
              <w:jc w:val="both"/>
              <w:rPr>
                <w:rFonts w:ascii="Arial" w:hAnsi="Arial" w:cs="Arial"/>
                <w:b/>
                <w:i/>
              </w:rPr>
            </w:pPr>
            <w:r w:rsidRPr="00685B4A">
              <w:rPr>
                <w:rFonts w:ascii="Arial" w:hAnsi="Arial" w:cs="Arial"/>
                <w:b/>
                <w:i/>
              </w:rPr>
              <w:t>Пример</w:t>
            </w:r>
          </w:p>
          <w:p w:rsidR="0097401D" w:rsidRPr="00685B4A" w:rsidRDefault="0097401D" w:rsidP="008B2D23">
            <w:pPr>
              <w:autoSpaceDE w:val="0"/>
              <w:autoSpaceDN w:val="0"/>
              <w:adjustRightInd w:val="0"/>
              <w:spacing w:line="287" w:lineRule="auto"/>
              <w:jc w:val="both"/>
              <w:rPr>
                <w:rFonts w:ascii="Arial" w:hAnsi="Arial" w:cs="Arial"/>
                <w:i/>
                <w:color w:val="000000"/>
              </w:rPr>
            </w:pPr>
            <w:r w:rsidRPr="00685B4A">
              <w:rPr>
                <w:rFonts w:ascii="Arial" w:hAnsi="Arial" w:cs="Arial"/>
                <w:i/>
                <w:color w:val="000000"/>
              </w:rPr>
              <w:t>Компания отразила в соответствии с МСФО объект основного средства по его текущей балансовой стоимости $10,000. Срок полезного использования объекта 5 лет. Ежемесячные амортизационные отчисления составят:</w:t>
            </w:r>
          </w:p>
          <w:p w:rsidR="0097401D" w:rsidRPr="00685B4A" w:rsidRDefault="0097401D" w:rsidP="008B2D23">
            <w:pPr>
              <w:autoSpaceDE w:val="0"/>
              <w:autoSpaceDN w:val="0"/>
              <w:adjustRightInd w:val="0"/>
              <w:spacing w:line="287" w:lineRule="auto"/>
              <w:jc w:val="both"/>
              <w:rPr>
                <w:rFonts w:ascii="Arial" w:hAnsi="Arial" w:cs="Arial"/>
                <w:i/>
                <w:color w:val="000000"/>
              </w:rPr>
            </w:pPr>
            <w:r w:rsidRPr="00685B4A">
              <w:rPr>
                <w:rFonts w:ascii="Arial" w:hAnsi="Arial" w:cs="Arial"/>
                <w:i/>
                <w:color w:val="000000"/>
              </w:rPr>
              <w:t>$10,000/60 = $166.67</w:t>
            </w:r>
          </w:p>
          <w:p w:rsidR="0097401D" w:rsidRPr="00685B4A" w:rsidRDefault="0097401D" w:rsidP="008B2D23">
            <w:pPr>
              <w:autoSpaceDE w:val="0"/>
              <w:autoSpaceDN w:val="0"/>
              <w:adjustRightInd w:val="0"/>
              <w:spacing w:line="287" w:lineRule="auto"/>
              <w:jc w:val="both"/>
              <w:rPr>
                <w:rFonts w:ascii="Arial" w:hAnsi="Arial" w:cs="Arial"/>
                <w:i/>
                <w:color w:val="000000"/>
              </w:rPr>
            </w:pPr>
            <w:r w:rsidRPr="00685B4A">
              <w:rPr>
                <w:rFonts w:ascii="Arial" w:hAnsi="Arial" w:cs="Arial"/>
                <w:i/>
              </w:rPr>
              <w:t>В соответствии с МСФО ежемесячно должна быть отражена следующая запись:</w:t>
            </w:r>
          </w:p>
          <w:p w:rsidR="0097401D" w:rsidRPr="00685B4A" w:rsidRDefault="0097401D" w:rsidP="008B2D23">
            <w:pPr>
              <w:tabs>
                <w:tab w:val="left" w:pos="4212"/>
              </w:tabs>
              <w:autoSpaceDE w:val="0"/>
              <w:autoSpaceDN w:val="0"/>
              <w:adjustRightInd w:val="0"/>
              <w:spacing w:line="288" w:lineRule="auto"/>
              <w:jc w:val="both"/>
              <w:rPr>
                <w:rFonts w:ascii="Arial" w:hAnsi="Arial" w:cs="Arial"/>
                <w:i/>
                <w:color w:val="000000"/>
                <w:lang w:val="en-US"/>
              </w:rPr>
            </w:pPr>
            <w:r w:rsidRPr="00685B4A">
              <w:rPr>
                <w:rFonts w:ascii="Arial" w:hAnsi="Arial" w:cs="Arial"/>
                <w:i/>
                <w:color w:val="000000"/>
                <w:lang w:val="en-US"/>
              </w:rPr>
              <w:t>Dr Depreciation expense</w:t>
            </w:r>
            <w:r w:rsidRPr="00685B4A">
              <w:rPr>
                <w:rFonts w:ascii="Arial" w:hAnsi="Arial" w:cs="Arial"/>
                <w:i/>
                <w:color w:val="000000"/>
                <w:lang w:val="en-US"/>
              </w:rPr>
              <w:tab/>
            </w:r>
            <w:r w:rsidRPr="00685B4A">
              <w:rPr>
                <w:rFonts w:ascii="Arial" w:hAnsi="Arial" w:cs="Arial"/>
                <w:i/>
                <w:color w:val="000000"/>
                <w:lang w:val="en-US"/>
              </w:rPr>
              <w:tab/>
              <w:t>$166.67</w:t>
            </w:r>
          </w:p>
          <w:p w:rsidR="0097401D" w:rsidRPr="00685B4A" w:rsidRDefault="0097401D" w:rsidP="008B2D23">
            <w:pPr>
              <w:tabs>
                <w:tab w:val="left" w:pos="4752"/>
              </w:tabs>
              <w:autoSpaceDE w:val="0"/>
              <w:autoSpaceDN w:val="0"/>
              <w:adjustRightInd w:val="0"/>
              <w:spacing w:line="287" w:lineRule="auto"/>
              <w:jc w:val="both"/>
              <w:rPr>
                <w:rFonts w:ascii="Arial" w:hAnsi="Arial" w:cs="Arial"/>
                <w:i/>
                <w:color w:val="000000"/>
                <w:lang w:val="en-US"/>
              </w:rPr>
            </w:pPr>
            <w:r w:rsidRPr="00685B4A">
              <w:rPr>
                <w:rFonts w:ascii="Arial" w:hAnsi="Arial" w:cs="Arial"/>
                <w:i/>
                <w:color w:val="000000"/>
                <w:lang w:val="en-US"/>
              </w:rPr>
              <w:t xml:space="preserve">Cr </w:t>
            </w:r>
            <w:proofErr w:type="spellStart"/>
            <w:r w:rsidRPr="00685B4A">
              <w:rPr>
                <w:rFonts w:ascii="Arial" w:hAnsi="Arial" w:cs="Arial"/>
                <w:i/>
                <w:color w:val="000000"/>
                <w:lang w:val="en-US"/>
              </w:rPr>
              <w:t>Property&amp;Equipment</w:t>
            </w:r>
            <w:proofErr w:type="spellEnd"/>
            <w:r w:rsidRPr="00685B4A">
              <w:rPr>
                <w:rFonts w:ascii="Arial" w:hAnsi="Arial" w:cs="Arial"/>
                <w:i/>
                <w:color w:val="000000"/>
                <w:lang w:val="en-US"/>
              </w:rPr>
              <w:t xml:space="preserve"> (Accumulated depreciation)</w:t>
            </w:r>
            <w:r w:rsidRPr="00685B4A">
              <w:rPr>
                <w:rFonts w:ascii="Arial" w:hAnsi="Arial" w:cs="Arial"/>
                <w:i/>
                <w:color w:val="000000"/>
                <w:lang w:val="en-US"/>
              </w:rPr>
              <w:tab/>
              <w:t>$166.67</w:t>
            </w:r>
          </w:p>
        </w:tc>
      </w:tr>
    </w:tbl>
    <w:p w:rsidR="0097401D" w:rsidRDefault="0097401D" w:rsidP="0097401D">
      <w:pPr>
        <w:tabs>
          <w:tab w:val="num" w:pos="1070"/>
        </w:tabs>
        <w:spacing w:after="120" w:line="360" w:lineRule="auto"/>
        <w:ind w:firstLine="567"/>
        <w:jc w:val="both"/>
        <w:rPr>
          <w:rFonts w:ascii="Times New Roman" w:hAnsi="Times New Roman" w:cs="Times New Roman"/>
          <w:bCs/>
          <w:color w:val="000000"/>
          <w:sz w:val="28"/>
          <w:szCs w:val="28"/>
        </w:rPr>
      </w:pPr>
    </w:p>
    <w:p w:rsidR="0097401D" w:rsidRPr="0097401D" w:rsidRDefault="0097401D" w:rsidP="0097401D">
      <w:pPr>
        <w:tabs>
          <w:tab w:val="num" w:pos="1070"/>
        </w:tabs>
        <w:spacing w:after="120" w:line="360" w:lineRule="auto"/>
        <w:ind w:firstLine="567"/>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При выбытии основных средств накопленная амортизация списывается на счета учета доходов и расходов вместе с балансовой стоимостью объекта.</w:t>
      </w:r>
    </w:p>
    <w:p w:rsidR="0097401D" w:rsidRPr="0097401D" w:rsidRDefault="0097401D" w:rsidP="0097401D">
      <w:pPr>
        <w:tabs>
          <w:tab w:val="num" w:pos="1070"/>
        </w:tabs>
        <w:spacing w:after="120" w:line="360" w:lineRule="auto"/>
        <w:ind w:firstLine="567"/>
        <w:jc w:val="both"/>
        <w:rPr>
          <w:rFonts w:ascii="Times New Roman" w:hAnsi="Times New Roman" w:cs="Times New Roman"/>
          <w:bCs/>
          <w:color w:val="000000"/>
          <w:sz w:val="28"/>
          <w:szCs w:val="28"/>
        </w:rPr>
      </w:pPr>
      <w:r w:rsidRPr="0097401D">
        <w:rPr>
          <w:rFonts w:ascii="Times New Roman" w:hAnsi="Times New Roman" w:cs="Times New Roman"/>
          <w:bCs/>
          <w:color w:val="000000"/>
          <w:sz w:val="28"/>
          <w:szCs w:val="28"/>
        </w:rPr>
        <w:t xml:space="preserve">Амортизация, начисленная в локальном бухгалтерском учете, может начисляться по ставкам, отличным от </w:t>
      </w:r>
      <w:proofErr w:type="gramStart"/>
      <w:r w:rsidRPr="0097401D">
        <w:rPr>
          <w:rFonts w:ascii="Times New Roman" w:hAnsi="Times New Roman" w:cs="Times New Roman"/>
          <w:bCs/>
          <w:color w:val="000000"/>
          <w:sz w:val="28"/>
          <w:szCs w:val="28"/>
        </w:rPr>
        <w:t>применяемых</w:t>
      </w:r>
      <w:proofErr w:type="gramEnd"/>
      <w:r w:rsidRPr="0097401D">
        <w:rPr>
          <w:rFonts w:ascii="Times New Roman" w:hAnsi="Times New Roman" w:cs="Times New Roman"/>
          <w:bCs/>
          <w:color w:val="000000"/>
          <w:sz w:val="28"/>
          <w:szCs w:val="28"/>
        </w:rPr>
        <w:t xml:space="preserve"> в соответствии с МСФО. В таком случае необходимо скорректировать обратной проводкой данные локального учета по начисленной амортизации на конец периода и расхода по амортизации и начислить амортизацию в соответствии с МСФО.</w:t>
      </w:r>
    </w:p>
    <w:p w:rsidR="00EF0F4F" w:rsidRDefault="00EF0F4F">
      <w:pPr>
        <w:rPr>
          <w:rFonts w:ascii="Times New Roman" w:hAnsi="Times New Roman" w:cs="Times New Roman"/>
          <w:sz w:val="28"/>
          <w:szCs w:val="28"/>
        </w:rPr>
      </w:pPr>
    </w:p>
    <w:p w:rsidR="00DB49B7" w:rsidRPr="00ED3741" w:rsidRDefault="00DB49B7">
      <w:pPr>
        <w:rPr>
          <w:rFonts w:ascii="Times New Roman" w:hAnsi="Times New Roman" w:cs="Times New Roman"/>
          <w:sz w:val="28"/>
          <w:szCs w:val="28"/>
        </w:rPr>
      </w:pPr>
    </w:p>
    <w:p w:rsidR="00DB49B7" w:rsidRPr="00EF0F4F" w:rsidRDefault="00DB49B7" w:rsidP="00EF0F4F">
      <w:pPr>
        <w:pStyle w:val="2"/>
        <w:rPr>
          <w:color w:val="auto"/>
        </w:rPr>
      </w:pPr>
      <w:bookmarkStart w:id="38" w:name="_Toc347844813"/>
      <w:bookmarkStart w:id="39" w:name="_Toc356280335"/>
      <w:r w:rsidRPr="00EF0F4F">
        <w:rPr>
          <w:color w:val="auto"/>
        </w:rPr>
        <w:lastRenderedPageBreak/>
        <w:t>Заключение</w:t>
      </w:r>
      <w:bookmarkEnd w:id="38"/>
      <w:bookmarkEnd w:id="39"/>
    </w:p>
    <w:p w:rsidR="00DA7963" w:rsidRDefault="00AC071F" w:rsidP="00217E9F">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своей выпускной работ</w:t>
      </w:r>
      <w:r w:rsidR="00DA7963">
        <w:rPr>
          <w:rFonts w:ascii="Times New Roman" w:hAnsi="Times New Roman" w:cs="Times New Roman"/>
          <w:sz w:val="28"/>
          <w:szCs w:val="28"/>
        </w:rPr>
        <w:t>е</w:t>
      </w:r>
      <w:r>
        <w:rPr>
          <w:rFonts w:ascii="Times New Roman" w:hAnsi="Times New Roman" w:cs="Times New Roman"/>
          <w:sz w:val="28"/>
          <w:szCs w:val="28"/>
        </w:rPr>
        <w:t xml:space="preserve"> </w:t>
      </w:r>
      <w:r w:rsidR="00DA7963">
        <w:rPr>
          <w:rFonts w:ascii="Times New Roman" w:hAnsi="Times New Roman" w:cs="Times New Roman"/>
          <w:sz w:val="28"/>
          <w:szCs w:val="28"/>
        </w:rPr>
        <w:t>я</w:t>
      </w:r>
      <w:r w:rsidR="00217E9F">
        <w:rPr>
          <w:rFonts w:ascii="Times New Roman" w:hAnsi="Times New Roman" w:cs="Times New Roman"/>
          <w:sz w:val="28"/>
          <w:szCs w:val="28"/>
        </w:rPr>
        <w:t xml:space="preserve"> рассказала об истории МСФО, их основных принципах и предпосылках, а также о внедрении их в России. </w:t>
      </w:r>
      <w:r w:rsidR="00DA7963">
        <w:rPr>
          <w:rFonts w:ascii="Times New Roman" w:hAnsi="Times New Roman" w:cs="Times New Roman"/>
          <w:sz w:val="28"/>
          <w:szCs w:val="28"/>
        </w:rPr>
        <w:t>Также, я провела анализ наиболее важных для телекоммуникационного сектора вопросов, связанных с внедрением МСФО, и показала, как на них отвечает конкретная компания.</w:t>
      </w:r>
    </w:p>
    <w:p w:rsidR="00AC071F" w:rsidRDefault="00217E9F" w:rsidP="00217E9F">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общем и целом, на основании проведённого исследования можно сделать следующие выводы:</w:t>
      </w:r>
    </w:p>
    <w:p w:rsidR="00923EFB" w:rsidRDefault="00923EFB" w:rsidP="00923EFB">
      <w:pPr>
        <w:pStyle w:val="a3"/>
        <w:numPr>
          <w:ilvl w:val="0"/>
          <w:numId w:val="11"/>
        </w:numPr>
        <w:spacing w:before="24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Основная </w:t>
      </w:r>
      <w:r w:rsidR="00262BC8">
        <w:rPr>
          <w:rFonts w:ascii="Times New Roman" w:hAnsi="Times New Roman" w:cs="Times New Roman"/>
          <w:sz w:val="28"/>
          <w:szCs w:val="28"/>
        </w:rPr>
        <w:t>цель</w:t>
      </w:r>
      <w:r>
        <w:rPr>
          <w:rFonts w:ascii="Times New Roman" w:hAnsi="Times New Roman" w:cs="Times New Roman"/>
          <w:sz w:val="28"/>
          <w:szCs w:val="28"/>
        </w:rPr>
        <w:t xml:space="preserve"> МСФО –</w:t>
      </w:r>
      <w:r w:rsidR="00262BC8">
        <w:rPr>
          <w:rFonts w:ascii="Times New Roman" w:hAnsi="Times New Roman" w:cs="Times New Roman"/>
          <w:sz w:val="28"/>
          <w:szCs w:val="28"/>
        </w:rPr>
        <w:t xml:space="preserve"> предоставить информацию о финансовом положении, финансовых результатах и изменениях в финансовом положении компании, полезную для широкого круга пользователей при принятии экономических решений</w:t>
      </w:r>
      <w:r>
        <w:rPr>
          <w:rFonts w:ascii="Times New Roman" w:hAnsi="Times New Roman" w:cs="Times New Roman"/>
          <w:sz w:val="28"/>
          <w:szCs w:val="28"/>
        </w:rPr>
        <w:t>;</w:t>
      </w:r>
    </w:p>
    <w:p w:rsidR="00923EFB" w:rsidRDefault="00923EFB" w:rsidP="00923EFB">
      <w:pPr>
        <w:pStyle w:val="a3"/>
        <w:numPr>
          <w:ilvl w:val="0"/>
          <w:numId w:val="11"/>
        </w:numPr>
        <w:spacing w:before="24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Все МСФО отталкиваются от базовых принципов, помогающих отчётности максимально полно раскрывать информацию для пользователей;</w:t>
      </w:r>
    </w:p>
    <w:p w:rsidR="00923EFB" w:rsidRDefault="00923EFB" w:rsidP="00923EFB">
      <w:pPr>
        <w:pStyle w:val="a3"/>
        <w:numPr>
          <w:ilvl w:val="0"/>
          <w:numId w:val="11"/>
        </w:numPr>
        <w:spacing w:before="24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Российские власти осознают необходимость введения МСФО более 20 лет, и в последнее время предприняты активные действия в этом направлении;</w:t>
      </w:r>
    </w:p>
    <w:p w:rsidR="00923EFB" w:rsidRDefault="00923EFB" w:rsidP="00923EFB">
      <w:pPr>
        <w:pStyle w:val="a3"/>
        <w:numPr>
          <w:ilvl w:val="0"/>
          <w:numId w:val="11"/>
        </w:numPr>
        <w:spacing w:before="24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Достаточно сложно сблизить РСБУ и МСФО из-за различия самой концепции учёта;</w:t>
      </w:r>
    </w:p>
    <w:p w:rsidR="009E3E7B" w:rsidRPr="0097401D" w:rsidRDefault="00DA7963" w:rsidP="0097401D">
      <w:pPr>
        <w:pStyle w:val="a3"/>
        <w:numPr>
          <w:ilvl w:val="0"/>
          <w:numId w:val="11"/>
        </w:numPr>
        <w:spacing w:before="24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Исключительная важность МСФО для телекоммуникационного сектора зиждется на </w:t>
      </w:r>
      <w:r w:rsidR="009E3E7B">
        <w:rPr>
          <w:rFonts w:ascii="Times New Roman" w:hAnsi="Times New Roman" w:cs="Times New Roman"/>
          <w:sz w:val="28"/>
          <w:szCs w:val="28"/>
        </w:rPr>
        <w:t>необходимости привлечения иностранного опыта и технологий через инвестиции.</w:t>
      </w:r>
    </w:p>
    <w:p w:rsidR="009E3E7B" w:rsidRPr="00923EFB" w:rsidRDefault="009E3E7B" w:rsidP="009E3E7B">
      <w:pPr>
        <w:pStyle w:val="a3"/>
        <w:spacing w:before="240" w:line="360" w:lineRule="auto"/>
        <w:ind w:left="1134"/>
        <w:jc w:val="both"/>
        <w:rPr>
          <w:rFonts w:ascii="Times New Roman" w:hAnsi="Times New Roman" w:cs="Times New Roman"/>
          <w:sz w:val="28"/>
          <w:szCs w:val="28"/>
        </w:rPr>
      </w:pPr>
      <w:r>
        <w:rPr>
          <w:rFonts w:ascii="Times New Roman" w:hAnsi="Times New Roman" w:cs="Times New Roman"/>
          <w:sz w:val="28"/>
          <w:szCs w:val="28"/>
        </w:rPr>
        <w:t>В целом, я считаю, что цель ВКР достигнута.</w:t>
      </w:r>
    </w:p>
    <w:p w:rsidR="00923EFB" w:rsidRPr="009E3E7B" w:rsidRDefault="00923EFB" w:rsidP="009E3E7B">
      <w:pPr>
        <w:spacing w:before="240" w:line="360" w:lineRule="auto"/>
        <w:jc w:val="both"/>
        <w:rPr>
          <w:rFonts w:ascii="Times New Roman" w:hAnsi="Times New Roman" w:cs="Times New Roman"/>
          <w:sz w:val="28"/>
          <w:szCs w:val="28"/>
        </w:rPr>
      </w:pPr>
    </w:p>
    <w:p w:rsidR="00AC071F" w:rsidRDefault="00AC071F">
      <w:pPr>
        <w:rPr>
          <w:rFonts w:ascii="Times New Roman" w:hAnsi="Times New Roman" w:cs="Times New Roman"/>
          <w:sz w:val="28"/>
          <w:szCs w:val="28"/>
        </w:rPr>
      </w:pPr>
      <w:r>
        <w:rPr>
          <w:rFonts w:ascii="Times New Roman" w:hAnsi="Times New Roman" w:cs="Times New Roman"/>
          <w:sz w:val="28"/>
          <w:szCs w:val="28"/>
        </w:rPr>
        <w:br w:type="page"/>
      </w:r>
    </w:p>
    <w:p w:rsidR="00DB49B7" w:rsidRDefault="00DB49B7">
      <w:pPr>
        <w:rPr>
          <w:rFonts w:ascii="Times New Roman" w:hAnsi="Times New Roman" w:cs="Times New Roman"/>
          <w:sz w:val="28"/>
          <w:szCs w:val="28"/>
        </w:rPr>
      </w:pPr>
    </w:p>
    <w:p w:rsidR="004D75E8" w:rsidRPr="00EF0F4F" w:rsidRDefault="00DB49B7" w:rsidP="00EF0F4F">
      <w:pPr>
        <w:pStyle w:val="2"/>
        <w:rPr>
          <w:color w:val="auto"/>
        </w:rPr>
      </w:pPr>
      <w:bookmarkStart w:id="40" w:name="_Toc347844814"/>
      <w:bookmarkStart w:id="41" w:name="_Toc356280336"/>
      <w:r w:rsidRPr="00EF0F4F">
        <w:rPr>
          <w:color w:val="auto"/>
        </w:rPr>
        <w:t>Список литературы</w:t>
      </w:r>
      <w:bookmarkEnd w:id="40"/>
      <w:bookmarkEnd w:id="41"/>
    </w:p>
    <w:p w:rsidR="004D75E8" w:rsidRPr="004D75E8" w:rsidRDefault="004D75E8" w:rsidP="004D75E8">
      <w:pPr>
        <w:pStyle w:val="3"/>
        <w:numPr>
          <w:ilvl w:val="0"/>
          <w:numId w:val="14"/>
        </w:numPr>
        <w:spacing w:line="360" w:lineRule="auto"/>
        <w:ind w:left="0" w:firstLine="426"/>
      </w:pPr>
      <w:bookmarkStart w:id="42" w:name="_Toc356280337"/>
      <w:r w:rsidRPr="004D75E8">
        <w:rPr>
          <w:rFonts w:eastAsiaTheme="minorHAnsi"/>
          <w:b w:val="0"/>
          <w:bCs w:val="0"/>
          <w:sz w:val="28"/>
          <w:szCs w:val="28"/>
          <w:lang w:eastAsia="en-US"/>
        </w:rPr>
        <w:t>Приказ Минфина России от 31.10.2012 № 143н "О введении в действие документов Международных стандартов финансовой отчетности на территории Российской Федерации"</w:t>
      </w:r>
      <w:r>
        <w:rPr>
          <w:rFonts w:eastAsiaTheme="minorHAnsi"/>
          <w:b w:val="0"/>
          <w:bCs w:val="0"/>
          <w:sz w:val="28"/>
          <w:szCs w:val="28"/>
          <w:lang w:eastAsia="en-US"/>
        </w:rPr>
        <w:t>.</w:t>
      </w:r>
      <w:bookmarkEnd w:id="42"/>
    </w:p>
    <w:p w:rsidR="004D75E8" w:rsidRPr="004D75E8" w:rsidRDefault="004D75E8" w:rsidP="004D75E8">
      <w:pPr>
        <w:pStyle w:val="3"/>
        <w:numPr>
          <w:ilvl w:val="0"/>
          <w:numId w:val="14"/>
        </w:numPr>
        <w:spacing w:line="360" w:lineRule="auto"/>
        <w:ind w:left="0" w:firstLine="426"/>
        <w:rPr>
          <w:rFonts w:eastAsiaTheme="minorHAnsi"/>
          <w:b w:val="0"/>
          <w:bCs w:val="0"/>
          <w:sz w:val="28"/>
          <w:szCs w:val="28"/>
          <w:lang w:eastAsia="en-US"/>
        </w:rPr>
      </w:pPr>
      <w:bookmarkStart w:id="43" w:name="_Toc356280338"/>
      <w:r w:rsidRPr="004D75E8">
        <w:rPr>
          <w:rFonts w:eastAsiaTheme="minorHAnsi"/>
          <w:b w:val="0"/>
          <w:bCs w:val="0"/>
          <w:sz w:val="28"/>
          <w:szCs w:val="28"/>
          <w:lang w:eastAsia="en-US"/>
        </w:rPr>
        <w:t>N208-ФЗ "О консолидированной финансовой отчетности" от 27.07.2010</w:t>
      </w:r>
      <w:bookmarkEnd w:id="43"/>
    </w:p>
    <w:p w:rsidR="004D75E8" w:rsidRPr="004D75E8" w:rsidRDefault="004D75E8" w:rsidP="004D75E8">
      <w:pPr>
        <w:pStyle w:val="3"/>
        <w:numPr>
          <w:ilvl w:val="0"/>
          <w:numId w:val="14"/>
        </w:numPr>
        <w:spacing w:line="360" w:lineRule="auto"/>
        <w:ind w:left="0" w:firstLine="426"/>
        <w:rPr>
          <w:rFonts w:eastAsiaTheme="minorHAnsi"/>
          <w:b w:val="0"/>
          <w:bCs w:val="0"/>
          <w:sz w:val="28"/>
          <w:szCs w:val="28"/>
          <w:lang w:eastAsia="en-US"/>
        </w:rPr>
      </w:pPr>
      <w:bookmarkStart w:id="44" w:name="_Toc356280339"/>
      <w:r w:rsidRPr="004D75E8">
        <w:rPr>
          <w:rFonts w:eastAsiaTheme="minorHAnsi"/>
          <w:b w:val="0"/>
          <w:bCs w:val="0"/>
          <w:sz w:val="28"/>
          <w:szCs w:val="28"/>
          <w:lang w:eastAsia="en-US"/>
        </w:rPr>
        <w:t>Постановление Верховного Совета РФ от 23.10.1992 № 3708-1</w:t>
      </w:r>
      <w:bookmarkEnd w:id="44"/>
    </w:p>
    <w:p w:rsidR="004D75E8" w:rsidRDefault="004D75E8" w:rsidP="004D75E8">
      <w:pPr>
        <w:pStyle w:val="3"/>
        <w:numPr>
          <w:ilvl w:val="0"/>
          <w:numId w:val="14"/>
        </w:numPr>
        <w:spacing w:line="360" w:lineRule="auto"/>
        <w:ind w:left="0" w:firstLine="426"/>
        <w:rPr>
          <w:rFonts w:eastAsiaTheme="minorHAnsi"/>
          <w:b w:val="0"/>
          <w:bCs w:val="0"/>
          <w:sz w:val="28"/>
          <w:szCs w:val="28"/>
          <w:lang w:eastAsia="en-US"/>
        </w:rPr>
      </w:pPr>
      <w:bookmarkStart w:id="45" w:name="_Toc356280340"/>
      <w:r w:rsidRPr="004D75E8">
        <w:rPr>
          <w:rFonts w:eastAsiaTheme="minorHAnsi"/>
          <w:b w:val="0"/>
          <w:bCs w:val="0"/>
          <w:sz w:val="28"/>
          <w:szCs w:val="28"/>
          <w:lang w:eastAsia="en-US"/>
        </w:rPr>
        <w:t>Комитет по МСФО, Введение к международным с</w:t>
      </w:r>
      <w:r>
        <w:rPr>
          <w:rFonts w:eastAsiaTheme="minorHAnsi"/>
          <w:b w:val="0"/>
          <w:bCs w:val="0"/>
          <w:sz w:val="28"/>
          <w:szCs w:val="28"/>
          <w:lang w:eastAsia="en-US"/>
        </w:rPr>
        <w:t>тандартам финансовой отчётности.</w:t>
      </w:r>
      <w:bookmarkEnd w:id="45"/>
    </w:p>
    <w:p w:rsidR="004D75E8" w:rsidRDefault="004D75E8" w:rsidP="004D75E8">
      <w:pPr>
        <w:pStyle w:val="3"/>
        <w:numPr>
          <w:ilvl w:val="0"/>
          <w:numId w:val="14"/>
        </w:numPr>
        <w:spacing w:line="360" w:lineRule="auto"/>
        <w:ind w:left="0" w:firstLine="426"/>
        <w:rPr>
          <w:rFonts w:eastAsiaTheme="minorHAnsi"/>
          <w:b w:val="0"/>
          <w:bCs w:val="0"/>
          <w:sz w:val="28"/>
          <w:szCs w:val="28"/>
          <w:lang w:eastAsia="en-US"/>
        </w:rPr>
      </w:pPr>
      <w:bookmarkStart w:id="46" w:name="_Toc356280341"/>
      <w:r w:rsidRPr="004D75E8">
        <w:rPr>
          <w:rFonts w:eastAsiaTheme="minorHAnsi"/>
          <w:b w:val="0"/>
          <w:bCs w:val="0"/>
          <w:sz w:val="28"/>
          <w:szCs w:val="28"/>
          <w:lang w:eastAsia="en-US"/>
        </w:rPr>
        <w:t xml:space="preserve">Применение МСФО: в 3 ч./ Пер. с англ. – 5-е изд., </w:t>
      </w:r>
      <w:proofErr w:type="spellStart"/>
      <w:r w:rsidRPr="004D75E8">
        <w:rPr>
          <w:rFonts w:eastAsiaTheme="minorHAnsi"/>
          <w:b w:val="0"/>
          <w:bCs w:val="0"/>
          <w:sz w:val="28"/>
          <w:szCs w:val="28"/>
          <w:lang w:eastAsia="en-US"/>
        </w:rPr>
        <w:t>перераб</w:t>
      </w:r>
      <w:proofErr w:type="spellEnd"/>
      <w:r w:rsidRPr="004D75E8">
        <w:rPr>
          <w:rFonts w:eastAsiaTheme="minorHAnsi"/>
          <w:b w:val="0"/>
          <w:bCs w:val="0"/>
          <w:sz w:val="28"/>
          <w:szCs w:val="28"/>
          <w:lang w:eastAsia="en-US"/>
        </w:rPr>
        <w:t xml:space="preserve">. и доп. – М.: </w:t>
      </w:r>
      <w:proofErr w:type="spellStart"/>
      <w:r w:rsidRPr="004D75E8">
        <w:rPr>
          <w:rFonts w:eastAsiaTheme="minorHAnsi"/>
          <w:b w:val="0"/>
          <w:bCs w:val="0"/>
          <w:sz w:val="28"/>
          <w:szCs w:val="28"/>
          <w:lang w:eastAsia="en-US"/>
        </w:rPr>
        <w:t>Альпина</w:t>
      </w:r>
      <w:proofErr w:type="spellEnd"/>
      <w:r w:rsidRPr="004D75E8">
        <w:rPr>
          <w:rFonts w:eastAsiaTheme="minorHAnsi"/>
          <w:b w:val="0"/>
          <w:bCs w:val="0"/>
          <w:sz w:val="28"/>
          <w:szCs w:val="28"/>
          <w:lang w:eastAsia="en-US"/>
        </w:rPr>
        <w:t xml:space="preserve"> </w:t>
      </w:r>
      <w:proofErr w:type="spellStart"/>
      <w:r w:rsidRPr="004D75E8">
        <w:rPr>
          <w:rFonts w:eastAsiaTheme="minorHAnsi"/>
          <w:b w:val="0"/>
          <w:bCs w:val="0"/>
          <w:sz w:val="28"/>
          <w:szCs w:val="28"/>
          <w:lang w:eastAsia="en-US"/>
        </w:rPr>
        <w:t>Паблишерз</w:t>
      </w:r>
      <w:proofErr w:type="spellEnd"/>
      <w:r w:rsidRPr="004D75E8">
        <w:rPr>
          <w:rFonts w:eastAsiaTheme="minorHAnsi"/>
          <w:b w:val="0"/>
          <w:bCs w:val="0"/>
          <w:sz w:val="28"/>
          <w:szCs w:val="28"/>
          <w:lang w:eastAsia="en-US"/>
        </w:rPr>
        <w:t>, 2010.</w:t>
      </w:r>
      <w:bookmarkEnd w:id="46"/>
    </w:p>
    <w:p w:rsidR="004D75E8" w:rsidRDefault="004D75E8" w:rsidP="004D75E8">
      <w:pPr>
        <w:pStyle w:val="3"/>
        <w:numPr>
          <w:ilvl w:val="0"/>
          <w:numId w:val="14"/>
        </w:numPr>
        <w:spacing w:line="360" w:lineRule="auto"/>
        <w:ind w:left="0" w:firstLine="426"/>
        <w:rPr>
          <w:rFonts w:eastAsiaTheme="minorHAnsi"/>
          <w:b w:val="0"/>
          <w:bCs w:val="0"/>
          <w:sz w:val="28"/>
          <w:szCs w:val="28"/>
          <w:lang w:eastAsia="en-US"/>
        </w:rPr>
      </w:pPr>
      <w:bookmarkStart w:id="47" w:name="_Toc356280342"/>
      <w:r w:rsidRPr="004D75E8">
        <w:rPr>
          <w:rFonts w:eastAsiaTheme="minorHAnsi"/>
          <w:b w:val="0"/>
          <w:bCs w:val="0"/>
          <w:sz w:val="28"/>
          <w:szCs w:val="28"/>
          <w:lang w:eastAsia="en-US"/>
        </w:rPr>
        <w:t xml:space="preserve">МСФО в кармане – 2011, </w:t>
      </w:r>
      <w:proofErr w:type="spellStart"/>
      <w:r w:rsidRPr="004D75E8">
        <w:rPr>
          <w:rFonts w:eastAsiaTheme="minorHAnsi"/>
          <w:b w:val="0"/>
          <w:bCs w:val="0"/>
          <w:sz w:val="28"/>
          <w:szCs w:val="28"/>
          <w:lang w:eastAsia="en-US"/>
        </w:rPr>
        <w:t>Deloitte</w:t>
      </w:r>
      <w:bookmarkEnd w:id="47"/>
      <w:proofErr w:type="spellEnd"/>
    </w:p>
    <w:p w:rsidR="004D75E8" w:rsidRDefault="004D75E8" w:rsidP="004D75E8">
      <w:pPr>
        <w:pStyle w:val="3"/>
        <w:numPr>
          <w:ilvl w:val="0"/>
          <w:numId w:val="14"/>
        </w:numPr>
        <w:spacing w:line="360" w:lineRule="auto"/>
        <w:ind w:left="0" w:firstLine="426"/>
        <w:rPr>
          <w:rFonts w:eastAsiaTheme="minorHAnsi"/>
          <w:b w:val="0"/>
          <w:bCs w:val="0"/>
          <w:sz w:val="28"/>
          <w:szCs w:val="28"/>
          <w:lang w:eastAsia="en-US"/>
        </w:rPr>
      </w:pPr>
      <w:bookmarkStart w:id="48" w:name="_Toc356280343"/>
      <w:r w:rsidRPr="004D75E8">
        <w:rPr>
          <w:rFonts w:eastAsiaTheme="minorHAnsi"/>
          <w:b w:val="0"/>
          <w:bCs w:val="0"/>
          <w:sz w:val="28"/>
          <w:szCs w:val="28"/>
          <w:lang w:eastAsia="en-US"/>
        </w:rPr>
        <w:t>МСФО (IAS) 1, «Предоставление финансовой отчётности»</w:t>
      </w:r>
      <w:bookmarkEnd w:id="48"/>
    </w:p>
    <w:p w:rsidR="004D75E8" w:rsidRDefault="004D75E8" w:rsidP="004D75E8">
      <w:pPr>
        <w:pStyle w:val="3"/>
        <w:numPr>
          <w:ilvl w:val="0"/>
          <w:numId w:val="14"/>
        </w:numPr>
        <w:spacing w:line="360" w:lineRule="auto"/>
        <w:ind w:left="0" w:firstLine="426"/>
        <w:rPr>
          <w:rFonts w:eastAsiaTheme="minorHAnsi"/>
          <w:b w:val="0"/>
          <w:bCs w:val="0"/>
          <w:sz w:val="28"/>
          <w:szCs w:val="28"/>
          <w:lang w:eastAsia="en-US"/>
        </w:rPr>
      </w:pPr>
      <w:bookmarkStart w:id="49" w:name="_Toc356280344"/>
      <w:r w:rsidRPr="004D75E8">
        <w:rPr>
          <w:rFonts w:eastAsiaTheme="minorHAnsi"/>
          <w:b w:val="0"/>
          <w:bCs w:val="0"/>
          <w:sz w:val="28"/>
          <w:szCs w:val="28"/>
          <w:lang w:eastAsia="en-US"/>
        </w:rPr>
        <w:t>МСФО (IAS) 8, параграф 3.</w:t>
      </w:r>
      <w:bookmarkEnd w:id="49"/>
    </w:p>
    <w:p w:rsidR="0097401D" w:rsidRDefault="0097401D" w:rsidP="004D75E8">
      <w:pPr>
        <w:pStyle w:val="3"/>
        <w:numPr>
          <w:ilvl w:val="0"/>
          <w:numId w:val="14"/>
        </w:numPr>
        <w:spacing w:line="360" w:lineRule="auto"/>
        <w:ind w:left="0" w:firstLine="426"/>
        <w:rPr>
          <w:rFonts w:eastAsiaTheme="minorHAnsi"/>
          <w:b w:val="0"/>
          <w:bCs w:val="0"/>
          <w:sz w:val="28"/>
          <w:szCs w:val="28"/>
          <w:lang w:val="en-US" w:eastAsia="en-US"/>
        </w:rPr>
      </w:pPr>
      <w:r w:rsidRPr="0097401D">
        <w:rPr>
          <w:rFonts w:eastAsiaTheme="minorHAnsi"/>
          <w:b w:val="0"/>
          <w:bCs w:val="0"/>
          <w:sz w:val="28"/>
          <w:szCs w:val="28"/>
          <w:lang w:val="en-US" w:eastAsia="en-US"/>
        </w:rPr>
        <w:t xml:space="preserve"> </w:t>
      </w:r>
      <w:r>
        <w:rPr>
          <w:rFonts w:eastAsiaTheme="minorHAnsi"/>
          <w:b w:val="0"/>
          <w:bCs w:val="0"/>
          <w:sz w:val="28"/>
          <w:szCs w:val="28"/>
          <w:lang w:val="en-US" w:eastAsia="en-US"/>
        </w:rPr>
        <w:t>Impact of IFRS: Telecoms. KPMG International</w:t>
      </w:r>
    </w:p>
    <w:p w:rsidR="0097401D" w:rsidRPr="0097401D" w:rsidRDefault="0097401D" w:rsidP="0097401D">
      <w:pPr>
        <w:pStyle w:val="3"/>
        <w:numPr>
          <w:ilvl w:val="0"/>
          <w:numId w:val="14"/>
        </w:numPr>
        <w:spacing w:line="360" w:lineRule="auto"/>
        <w:ind w:left="0" w:firstLine="426"/>
        <w:rPr>
          <w:rFonts w:eastAsiaTheme="minorHAnsi"/>
          <w:b w:val="0"/>
          <w:bCs w:val="0"/>
          <w:sz w:val="28"/>
          <w:szCs w:val="28"/>
          <w:lang w:val="en-US" w:eastAsia="en-US"/>
        </w:rPr>
      </w:pPr>
      <w:r w:rsidRPr="0097401D">
        <w:rPr>
          <w:rFonts w:eastAsiaTheme="minorHAnsi"/>
          <w:b w:val="0"/>
          <w:bCs w:val="0"/>
          <w:sz w:val="28"/>
          <w:szCs w:val="28"/>
          <w:lang w:val="en-US" w:eastAsia="en-US"/>
        </w:rPr>
        <w:t>Accounting under IFRS: Telecoms</w:t>
      </w:r>
      <w:r>
        <w:rPr>
          <w:rFonts w:eastAsiaTheme="minorHAnsi"/>
          <w:b w:val="0"/>
          <w:bCs w:val="0"/>
          <w:sz w:val="28"/>
          <w:szCs w:val="28"/>
          <w:lang w:val="en-US" w:eastAsia="en-US"/>
        </w:rPr>
        <w:t>.</w:t>
      </w:r>
      <w:r w:rsidRPr="0097401D">
        <w:rPr>
          <w:rFonts w:eastAsiaTheme="minorHAnsi"/>
          <w:b w:val="0"/>
          <w:bCs w:val="0"/>
          <w:sz w:val="28"/>
          <w:szCs w:val="28"/>
          <w:lang w:val="en-US" w:eastAsia="en-US"/>
        </w:rPr>
        <w:t xml:space="preserve"> 2010 KPMG IFRG Limited</w:t>
      </w:r>
    </w:p>
    <w:p w:rsidR="004D75E8" w:rsidRPr="004D75E8" w:rsidRDefault="004D75E8" w:rsidP="004D75E8">
      <w:pPr>
        <w:pStyle w:val="3"/>
        <w:numPr>
          <w:ilvl w:val="0"/>
          <w:numId w:val="14"/>
        </w:numPr>
        <w:spacing w:line="360" w:lineRule="auto"/>
        <w:ind w:left="0" w:firstLine="426"/>
        <w:rPr>
          <w:rFonts w:eastAsiaTheme="minorHAnsi"/>
          <w:b w:val="0"/>
          <w:bCs w:val="0"/>
          <w:sz w:val="28"/>
          <w:szCs w:val="28"/>
          <w:lang w:eastAsia="en-US"/>
        </w:rPr>
      </w:pPr>
      <w:bookmarkStart w:id="50" w:name="_Toc356280345"/>
      <w:r w:rsidRPr="004D75E8">
        <w:rPr>
          <w:rFonts w:eastAsiaTheme="minorHAnsi"/>
          <w:b w:val="0"/>
          <w:bCs w:val="0"/>
          <w:sz w:val="28"/>
          <w:szCs w:val="28"/>
          <w:lang w:eastAsia="en-US"/>
        </w:rPr>
        <w:t>Материалы семинара по проблемам учета на совместных предприятиях, проводившегося Центром ООН по ТНК и Торгово-промышленной палатой СССР в июне 1989 года в Москве.</w:t>
      </w:r>
      <w:bookmarkEnd w:id="50"/>
    </w:p>
    <w:p w:rsidR="0005719D" w:rsidRDefault="0005719D" w:rsidP="00EF0F4F">
      <w:pPr>
        <w:pStyle w:val="2"/>
      </w:pPr>
      <w:r w:rsidRPr="004D75E8">
        <w:br w:type="page"/>
      </w:r>
      <w:bookmarkStart w:id="51" w:name="_Toc347844815"/>
      <w:bookmarkStart w:id="52" w:name="_Toc356280346"/>
      <w:r w:rsidR="00B51292" w:rsidRPr="00EF0F4F">
        <w:rPr>
          <w:color w:val="auto"/>
        </w:rPr>
        <w:lastRenderedPageBreak/>
        <w:t>Приложение 1</w:t>
      </w:r>
      <w:bookmarkEnd w:id="51"/>
      <w:bookmarkEnd w:id="52"/>
    </w:p>
    <w:p w:rsidR="004D75E8" w:rsidRPr="004D75E8" w:rsidRDefault="004D75E8" w:rsidP="004D75E8">
      <w:pPr>
        <w:pStyle w:val="3"/>
        <w:spacing w:line="360" w:lineRule="auto"/>
        <w:ind w:left="426"/>
      </w:pPr>
      <w:bookmarkStart w:id="53" w:name="_Toc356280347"/>
      <w:r>
        <w:t>Список утверждённых стандартов МСФО (</w:t>
      </w:r>
      <w:r>
        <w:rPr>
          <w:lang w:val="en-US"/>
        </w:rPr>
        <w:t>IAS</w:t>
      </w:r>
      <w:r w:rsidRPr="004D75E8">
        <w:t>)</w:t>
      </w:r>
      <w:bookmarkEnd w:id="53"/>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1 «</w:t>
      </w:r>
      <w:r w:rsidRPr="004D75E8">
        <w:rPr>
          <w:rFonts w:ascii="Times New Roman" w:eastAsia="Times New Roman" w:hAnsi="Times New Roman" w:cs="Times New Roman"/>
          <w:sz w:val="24"/>
          <w:szCs w:val="24"/>
          <w:lang w:eastAsia="ru-RU"/>
        </w:rPr>
        <w:t>Представление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финансовой</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отчетности</w:t>
      </w:r>
      <w:r w:rsidRPr="004D75E8">
        <w:rPr>
          <w:rFonts w:ascii="Times New Roman" w:eastAsia="Times New Roman" w:hAnsi="Times New Roman" w:cs="Times New Roman"/>
          <w:sz w:val="24"/>
          <w:szCs w:val="24"/>
          <w:lang w:val="en-US" w:eastAsia="ru-RU"/>
        </w:rPr>
        <w:t xml:space="preserve">» (IAS 1 «Presentation of Financial Statements»)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2 «Запасы» (IAS 2 «</w:t>
      </w:r>
      <w:proofErr w:type="spellStart"/>
      <w:r w:rsidRPr="004D75E8">
        <w:rPr>
          <w:rFonts w:ascii="Times New Roman" w:eastAsia="Times New Roman" w:hAnsi="Times New Roman" w:cs="Times New Roman"/>
          <w:sz w:val="24"/>
          <w:szCs w:val="24"/>
          <w:lang w:eastAsia="ru-RU"/>
        </w:rPr>
        <w:t>Inventories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7 «Отчеты о движении денежных средств» (IAS 7 «</w:t>
      </w:r>
      <w:proofErr w:type="spellStart"/>
      <w:r w:rsidRPr="004D75E8">
        <w:rPr>
          <w:rFonts w:ascii="Times New Roman" w:eastAsia="Times New Roman" w:hAnsi="Times New Roman" w:cs="Times New Roman"/>
          <w:sz w:val="24"/>
          <w:szCs w:val="24"/>
          <w:lang w:eastAsia="ru-RU"/>
        </w:rPr>
        <w:t>Cash</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Flow</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Statements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8 «</w:t>
      </w:r>
      <w:r w:rsidRPr="004D75E8">
        <w:rPr>
          <w:rFonts w:ascii="Times New Roman" w:eastAsia="Times New Roman" w:hAnsi="Times New Roman" w:cs="Times New Roman"/>
          <w:sz w:val="24"/>
          <w:szCs w:val="24"/>
          <w:lang w:eastAsia="ru-RU"/>
        </w:rPr>
        <w:t>Чистая</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прибыль</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или</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убыток</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за</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период</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фундаментальные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ошибки</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изменения</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в</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учетной</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политике</w:t>
      </w:r>
      <w:r w:rsidRPr="004D75E8">
        <w:rPr>
          <w:rFonts w:ascii="Times New Roman" w:eastAsia="Times New Roman" w:hAnsi="Times New Roman" w:cs="Times New Roman"/>
          <w:sz w:val="24"/>
          <w:szCs w:val="24"/>
          <w:lang w:val="en-US" w:eastAsia="ru-RU"/>
        </w:rPr>
        <w:t xml:space="preserve">» (IAS 8 «Net Profit or Loss for the Period, Fundamental Errors and Changes in Accounting Policies»)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10 «</w:t>
      </w:r>
      <w:proofErr w:type="gramStart"/>
      <w:r w:rsidRPr="004D75E8">
        <w:rPr>
          <w:rFonts w:ascii="Times New Roman" w:eastAsia="Times New Roman" w:hAnsi="Times New Roman" w:cs="Times New Roman"/>
          <w:sz w:val="24"/>
          <w:szCs w:val="24"/>
          <w:lang w:val="en-US" w:eastAsia="ru-RU"/>
        </w:rPr>
        <w:t>C</w:t>
      </w:r>
      <w:proofErr w:type="spellStart"/>
      <w:proofErr w:type="gramEnd"/>
      <w:r w:rsidRPr="004D75E8">
        <w:rPr>
          <w:rFonts w:ascii="Times New Roman" w:eastAsia="Times New Roman" w:hAnsi="Times New Roman" w:cs="Times New Roman"/>
          <w:sz w:val="24"/>
          <w:szCs w:val="24"/>
          <w:lang w:eastAsia="ru-RU"/>
        </w:rPr>
        <w:t>обытия</w:t>
      </w:r>
      <w:proofErr w:type="spellEnd"/>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происшедшие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после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отчетной</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даты</w:t>
      </w:r>
      <w:r w:rsidRPr="004D75E8">
        <w:rPr>
          <w:rFonts w:ascii="Times New Roman" w:eastAsia="Times New Roman" w:hAnsi="Times New Roman" w:cs="Times New Roman"/>
          <w:sz w:val="24"/>
          <w:szCs w:val="24"/>
          <w:lang w:val="en-US" w:eastAsia="ru-RU"/>
        </w:rPr>
        <w:t xml:space="preserve">» (IAS 10 «Events After the Balance Sheet Date»)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11 «Договоры подряда на строительство» (IAS 11 «</w:t>
      </w:r>
      <w:proofErr w:type="spellStart"/>
      <w:r w:rsidRPr="004D75E8">
        <w:rPr>
          <w:rFonts w:ascii="Times New Roman" w:eastAsia="Times New Roman" w:hAnsi="Times New Roman" w:cs="Times New Roman"/>
          <w:sz w:val="24"/>
          <w:szCs w:val="24"/>
          <w:lang w:eastAsia="ru-RU"/>
        </w:rPr>
        <w:t>Construction</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Contracts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12 «Налоги на прибыль» (IAS 12 «</w:t>
      </w:r>
      <w:proofErr w:type="spellStart"/>
      <w:r w:rsidRPr="004D75E8">
        <w:rPr>
          <w:rFonts w:ascii="Times New Roman" w:eastAsia="Times New Roman" w:hAnsi="Times New Roman" w:cs="Times New Roman"/>
          <w:sz w:val="24"/>
          <w:szCs w:val="24"/>
          <w:lang w:eastAsia="ru-RU"/>
        </w:rPr>
        <w:t>Income</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Taxes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14 «Сегментная отчетность» (IAS 14 «</w:t>
      </w:r>
      <w:proofErr w:type="spellStart"/>
      <w:r w:rsidRPr="004D75E8">
        <w:rPr>
          <w:rFonts w:ascii="Times New Roman" w:eastAsia="Times New Roman" w:hAnsi="Times New Roman" w:cs="Times New Roman"/>
          <w:sz w:val="24"/>
          <w:szCs w:val="24"/>
          <w:lang w:eastAsia="ru-RU"/>
        </w:rPr>
        <w:t>Segment</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Reporting</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15 «</w:t>
      </w:r>
      <w:r w:rsidRPr="004D75E8">
        <w:rPr>
          <w:rFonts w:ascii="Times New Roman" w:eastAsia="Times New Roman" w:hAnsi="Times New Roman" w:cs="Times New Roman"/>
          <w:sz w:val="24"/>
          <w:szCs w:val="24"/>
          <w:lang w:eastAsia="ru-RU"/>
        </w:rPr>
        <w:t>Информация</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отражающая</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влияние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изменения</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цен</w:t>
      </w:r>
      <w:r w:rsidRPr="004D75E8">
        <w:rPr>
          <w:rFonts w:ascii="Times New Roman" w:eastAsia="Times New Roman" w:hAnsi="Times New Roman" w:cs="Times New Roman"/>
          <w:sz w:val="24"/>
          <w:szCs w:val="24"/>
          <w:lang w:val="en-US" w:eastAsia="ru-RU"/>
        </w:rPr>
        <w:t xml:space="preserve">» (IAS 15 «Information Reflecting the Effects of Changing Prices»)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16 «</w:t>
      </w:r>
      <w:r w:rsidRPr="004D75E8">
        <w:rPr>
          <w:rFonts w:ascii="Times New Roman" w:eastAsia="Times New Roman" w:hAnsi="Times New Roman" w:cs="Times New Roman"/>
          <w:sz w:val="24"/>
          <w:szCs w:val="24"/>
          <w:lang w:eastAsia="ru-RU"/>
        </w:rPr>
        <w:t>Основные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средства</w:t>
      </w:r>
      <w:r w:rsidRPr="004D75E8">
        <w:rPr>
          <w:rFonts w:ascii="Times New Roman" w:eastAsia="Times New Roman" w:hAnsi="Times New Roman" w:cs="Times New Roman"/>
          <w:sz w:val="24"/>
          <w:szCs w:val="24"/>
          <w:lang w:val="en-US" w:eastAsia="ru-RU"/>
        </w:rPr>
        <w:t xml:space="preserve">» (IAS 16 «Property, Plant and Equipment»)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17 «Аренда» (IAS 17 «</w:t>
      </w:r>
      <w:proofErr w:type="spellStart"/>
      <w:r w:rsidRPr="004D75E8">
        <w:rPr>
          <w:rFonts w:ascii="Times New Roman" w:eastAsia="Times New Roman" w:hAnsi="Times New Roman" w:cs="Times New Roman"/>
          <w:sz w:val="24"/>
          <w:szCs w:val="24"/>
          <w:lang w:eastAsia="ru-RU"/>
        </w:rPr>
        <w:t>Leases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18 «Выручка» (IAS 18 «</w:t>
      </w:r>
      <w:proofErr w:type="spellStart"/>
      <w:r w:rsidRPr="004D75E8">
        <w:rPr>
          <w:rFonts w:ascii="Times New Roman" w:eastAsia="Times New Roman" w:hAnsi="Times New Roman" w:cs="Times New Roman"/>
          <w:sz w:val="24"/>
          <w:szCs w:val="24"/>
          <w:lang w:eastAsia="ru-RU"/>
        </w:rPr>
        <w:t>Revenue</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19 «Вознаграждения работникам» (IAS 19 «</w:t>
      </w:r>
      <w:proofErr w:type="spellStart"/>
      <w:r w:rsidRPr="004D75E8">
        <w:rPr>
          <w:rFonts w:ascii="Times New Roman" w:eastAsia="Times New Roman" w:hAnsi="Times New Roman" w:cs="Times New Roman"/>
          <w:sz w:val="24"/>
          <w:szCs w:val="24"/>
          <w:lang w:eastAsia="ru-RU"/>
        </w:rPr>
        <w:t>Employee</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Benefits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20 «Учет правительственных субсидий и раскрытие информации о правительственной помощи» (IAS 20 «</w:t>
      </w:r>
      <w:proofErr w:type="spellStart"/>
      <w:r w:rsidRPr="004D75E8">
        <w:rPr>
          <w:rFonts w:ascii="Times New Roman" w:eastAsia="Times New Roman" w:hAnsi="Times New Roman" w:cs="Times New Roman"/>
          <w:sz w:val="24"/>
          <w:szCs w:val="24"/>
          <w:lang w:eastAsia="ru-RU"/>
        </w:rPr>
        <w:t>Accounting</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for</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Government</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Grants</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and</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Disclosure</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of</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Government</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Assistance</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21 «</w:t>
      </w:r>
      <w:r w:rsidRPr="004D75E8">
        <w:rPr>
          <w:rFonts w:ascii="Times New Roman" w:eastAsia="Times New Roman" w:hAnsi="Times New Roman" w:cs="Times New Roman"/>
          <w:sz w:val="24"/>
          <w:szCs w:val="24"/>
          <w:lang w:eastAsia="ru-RU"/>
        </w:rPr>
        <w:t>Влияние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изменений</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валютных</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курсов</w:t>
      </w:r>
      <w:r w:rsidRPr="004D75E8">
        <w:rPr>
          <w:rFonts w:ascii="Times New Roman" w:eastAsia="Times New Roman" w:hAnsi="Times New Roman" w:cs="Times New Roman"/>
          <w:sz w:val="24"/>
          <w:szCs w:val="24"/>
          <w:lang w:val="en-US" w:eastAsia="ru-RU"/>
        </w:rPr>
        <w:t xml:space="preserve">» (IAS 21 «The Effects of Changing in Foreign Exchange Rates»)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22 «Объединение компаний» (IAS 22 «</w:t>
      </w:r>
      <w:proofErr w:type="spellStart"/>
      <w:r w:rsidRPr="004D75E8">
        <w:rPr>
          <w:rFonts w:ascii="Times New Roman" w:eastAsia="Times New Roman" w:hAnsi="Times New Roman" w:cs="Times New Roman"/>
          <w:sz w:val="24"/>
          <w:szCs w:val="24"/>
          <w:lang w:eastAsia="ru-RU"/>
        </w:rPr>
        <w:t>Business</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Combinations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23 «Затраты по займам» (IAS 23 «</w:t>
      </w:r>
      <w:proofErr w:type="spellStart"/>
      <w:r w:rsidRPr="004D75E8">
        <w:rPr>
          <w:rFonts w:ascii="Times New Roman" w:eastAsia="Times New Roman" w:hAnsi="Times New Roman" w:cs="Times New Roman"/>
          <w:sz w:val="24"/>
          <w:szCs w:val="24"/>
          <w:lang w:eastAsia="ru-RU"/>
        </w:rPr>
        <w:t>Borrowing</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Costs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24 «Раскрытие информации о связанных сторонах» (IAS 24 «</w:t>
      </w:r>
      <w:proofErr w:type="spellStart"/>
      <w:r w:rsidRPr="004D75E8">
        <w:rPr>
          <w:rFonts w:ascii="Times New Roman" w:eastAsia="Times New Roman" w:hAnsi="Times New Roman" w:cs="Times New Roman"/>
          <w:sz w:val="24"/>
          <w:szCs w:val="24"/>
          <w:lang w:eastAsia="ru-RU"/>
        </w:rPr>
        <w:t>Related</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Party</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Disclosures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26 «Учет и отчетность по программам пенсионного обеспечения (пенсионным планам)» (IAS 26 «</w:t>
      </w:r>
      <w:proofErr w:type="spellStart"/>
      <w:r w:rsidRPr="004D75E8">
        <w:rPr>
          <w:rFonts w:ascii="Times New Roman" w:eastAsia="Times New Roman" w:hAnsi="Times New Roman" w:cs="Times New Roman"/>
          <w:sz w:val="24"/>
          <w:szCs w:val="24"/>
          <w:lang w:eastAsia="ru-RU"/>
        </w:rPr>
        <w:t>Accounting</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and</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Reporting</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by</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Retirement</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Benefit</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Plans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27 «Сводная финансовая отчетность и учет инвестиций в дочерние компании» (IAS 27 «</w:t>
      </w:r>
      <w:proofErr w:type="spellStart"/>
      <w:r w:rsidRPr="004D75E8">
        <w:rPr>
          <w:rFonts w:ascii="Times New Roman" w:eastAsia="Times New Roman" w:hAnsi="Times New Roman" w:cs="Times New Roman"/>
          <w:sz w:val="24"/>
          <w:szCs w:val="24"/>
          <w:lang w:eastAsia="ru-RU"/>
        </w:rPr>
        <w:t>Consolidated</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Financial</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Statements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28 «Учет инвестиций в ассоциированные компании» (IAS 28 «</w:t>
      </w:r>
      <w:proofErr w:type="spellStart"/>
      <w:r w:rsidRPr="004D75E8">
        <w:rPr>
          <w:rFonts w:ascii="Times New Roman" w:eastAsia="Times New Roman" w:hAnsi="Times New Roman" w:cs="Times New Roman"/>
          <w:sz w:val="24"/>
          <w:szCs w:val="24"/>
          <w:lang w:eastAsia="ru-RU"/>
        </w:rPr>
        <w:t>Investments</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in</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Associates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29 «</w:t>
      </w:r>
      <w:r w:rsidRPr="004D75E8">
        <w:rPr>
          <w:rFonts w:ascii="Times New Roman" w:eastAsia="Times New Roman" w:hAnsi="Times New Roman" w:cs="Times New Roman"/>
          <w:sz w:val="24"/>
          <w:szCs w:val="24"/>
          <w:lang w:eastAsia="ru-RU"/>
        </w:rPr>
        <w:t>Финансовая</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отчетность</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в</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условиях</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гиперинфляции</w:t>
      </w:r>
      <w:r w:rsidRPr="004D75E8">
        <w:rPr>
          <w:rFonts w:ascii="Times New Roman" w:eastAsia="Times New Roman" w:hAnsi="Times New Roman" w:cs="Times New Roman"/>
          <w:sz w:val="24"/>
          <w:szCs w:val="24"/>
          <w:lang w:val="en-US" w:eastAsia="ru-RU"/>
        </w:rPr>
        <w:t xml:space="preserve">» (IAS 29 «Financial Reporting in Hyperinflationary Economies»)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30 «</w:t>
      </w:r>
      <w:r w:rsidRPr="004D75E8">
        <w:rPr>
          <w:rFonts w:ascii="Times New Roman" w:eastAsia="Times New Roman" w:hAnsi="Times New Roman" w:cs="Times New Roman"/>
          <w:sz w:val="24"/>
          <w:szCs w:val="24"/>
          <w:lang w:eastAsia="ru-RU"/>
        </w:rPr>
        <w:t>Раскрытие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информации</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в</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финансовой</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отчетности</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банков</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аналогичных</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финансовых</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институтов</w:t>
      </w:r>
      <w:r w:rsidRPr="004D75E8">
        <w:rPr>
          <w:rFonts w:ascii="Times New Roman" w:eastAsia="Times New Roman" w:hAnsi="Times New Roman" w:cs="Times New Roman"/>
          <w:sz w:val="24"/>
          <w:szCs w:val="24"/>
          <w:lang w:val="en-US" w:eastAsia="ru-RU"/>
        </w:rPr>
        <w:t xml:space="preserve">» (IAS 30 «Disclosures in the Financial Statements of Banks and Similar Financial Institutions»)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31 «Финансовая отчетность об участии в совместной деятельности» (IAS 31 «</w:t>
      </w:r>
      <w:proofErr w:type="spellStart"/>
      <w:r w:rsidRPr="004D75E8">
        <w:rPr>
          <w:rFonts w:ascii="Times New Roman" w:eastAsia="Times New Roman" w:hAnsi="Times New Roman" w:cs="Times New Roman"/>
          <w:sz w:val="24"/>
          <w:szCs w:val="24"/>
          <w:lang w:eastAsia="ru-RU"/>
        </w:rPr>
        <w:t>Financial</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Reporting</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of</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Interests</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in</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Joint</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Ventures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proofErr w:type="gramStart"/>
      <w:r w:rsidRPr="004D75E8">
        <w:rPr>
          <w:rFonts w:ascii="Times New Roman" w:eastAsia="Times New Roman" w:hAnsi="Times New Roman" w:cs="Times New Roman"/>
          <w:sz w:val="24"/>
          <w:szCs w:val="24"/>
          <w:lang w:eastAsia="ru-RU"/>
        </w:rPr>
        <w:lastRenderedPageBreak/>
        <w:t>МСФО 32 «Финансовые инструменты: раскрытие и представление информации» (IAS 32 «</w:t>
      </w:r>
      <w:proofErr w:type="spellStart"/>
      <w:r w:rsidRPr="004D75E8">
        <w:rPr>
          <w:rFonts w:ascii="Times New Roman" w:eastAsia="Times New Roman" w:hAnsi="Times New Roman" w:cs="Times New Roman"/>
          <w:sz w:val="24"/>
          <w:szCs w:val="24"/>
          <w:lang w:eastAsia="ru-RU"/>
        </w:rPr>
        <w:t>Financial</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Instruments</w:t>
      </w:r>
      <w:proofErr w:type="spellEnd"/>
      <w:r w:rsidRPr="004D75E8">
        <w:rPr>
          <w:rFonts w:ascii="Times New Roman" w:eastAsia="Times New Roman" w:hAnsi="Times New Roman" w:cs="Times New Roman"/>
          <w:sz w:val="24"/>
          <w:szCs w:val="24"/>
          <w:lang w:eastAsia="ru-RU"/>
        </w:rPr>
        <w:t>:</w:t>
      </w:r>
      <w:proofErr w:type="gramEnd"/>
      <w:r w:rsidRPr="004D75E8">
        <w:rPr>
          <w:rFonts w:ascii="Times New Roman" w:eastAsia="Times New Roman" w:hAnsi="Times New Roman" w:cs="Times New Roman"/>
          <w:sz w:val="24"/>
          <w:szCs w:val="24"/>
          <w:lang w:eastAsia="ru-RU"/>
        </w:rPr>
        <w:t xml:space="preserve"> </w:t>
      </w:r>
      <w:proofErr w:type="spellStart"/>
      <w:proofErr w:type="gramStart"/>
      <w:r w:rsidRPr="004D75E8">
        <w:rPr>
          <w:rFonts w:ascii="Times New Roman" w:eastAsia="Times New Roman" w:hAnsi="Times New Roman" w:cs="Times New Roman"/>
          <w:sz w:val="24"/>
          <w:szCs w:val="24"/>
          <w:lang w:eastAsia="ru-RU"/>
        </w:rPr>
        <w:t>Disclosure</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and</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Presentation</w:t>
      </w:r>
      <w:proofErr w:type="spellEnd"/>
      <w:r w:rsidRPr="004D75E8">
        <w:rPr>
          <w:rFonts w:ascii="Times New Roman" w:eastAsia="Times New Roman" w:hAnsi="Times New Roman" w:cs="Times New Roman"/>
          <w:sz w:val="24"/>
          <w:szCs w:val="24"/>
          <w:lang w:eastAsia="ru-RU"/>
        </w:rPr>
        <w:t xml:space="preserve">») </w:t>
      </w:r>
      <w:proofErr w:type="gramEnd"/>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33 «</w:t>
      </w:r>
      <w:r w:rsidRPr="004D75E8">
        <w:rPr>
          <w:rFonts w:ascii="Times New Roman" w:eastAsia="Times New Roman" w:hAnsi="Times New Roman" w:cs="Times New Roman"/>
          <w:sz w:val="24"/>
          <w:szCs w:val="24"/>
          <w:lang w:eastAsia="ru-RU"/>
        </w:rPr>
        <w:t>Прибыль</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на</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акцию</w:t>
      </w:r>
      <w:r w:rsidRPr="004D75E8">
        <w:rPr>
          <w:rFonts w:ascii="Times New Roman" w:eastAsia="Times New Roman" w:hAnsi="Times New Roman" w:cs="Times New Roman"/>
          <w:sz w:val="24"/>
          <w:szCs w:val="24"/>
          <w:lang w:val="en-US" w:eastAsia="ru-RU"/>
        </w:rPr>
        <w:t xml:space="preserve">» (IAS 33 «Earnings per Share»)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34 «Промежуточная финансовая отчетность» (IAS 34 «</w:t>
      </w:r>
      <w:proofErr w:type="spellStart"/>
      <w:r w:rsidRPr="004D75E8">
        <w:rPr>
          <w:rFonts w:ascii="Times New Roman" w:eastAsia="Times New Roman" w:hAnsi="Times New Roman" w:cs="Times New Roman"/>
          <w:sz w:val="24"/>
          <w:szCs w:val="24"/>
          <w:lang w:eastAsia="ru-RU"/>
        </w:rPr>
        <w:t>Interim</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Financial</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Statements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35 «Прекращаемая деятельность» (IAS 35 «</w:t>
      </w:r>
      <w:proofErr w:type="spellStart"/>
      <w:r w:rsidRPr="004D75E8">
        <w:rPr>
          <w:rFonts w:ascii="Times New Roman" w:eastAsia="Times New Roman" w:hAnsi="Times New Roman" w:cs="Times New Roman"/>
          <w:sz w:val="24"/>
          <w:szCs w:val="24"/>
          <w:lang w:eastAsia="ru-RU"/>
        </w:rPr>
        <w:t>Discontinuing</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Operations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36 «</w:t>
      </w:r>
      <w:r w:rsidRPr="004D75E8">
        <w:rPr>
          <w:rFonts w:ascii="Times New Roman" w:eastAsia="Times New Roman" w:hAnsi="Times New Roman" w:cs="Times New Roman"/>
          <w:sz w:val="24"/>
          <w:szCs w:val="24"/>
          <w:lang w:eastAsia="ru-RU"/>
        </w:rPr>
        <w:t>Обесценение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активов</w:t>
      </w:r>
      <w:r w:rsidRPr="004D75E8">
        <w:rPr>
          <w:rFonts w:ascii="Times New Roman" w:eastAsia="Times New Roman" w:hAnsi="Times New Roman" w:cs="Times New Roman"/>
          <w:sz w:val="24"/>
          <w:szCs w:val="24"/>
          <w:lang w:val="en-US" w:eastAsia="ru-RU"/>
        </w:rPr>
        <w:t xml:space="preserve">» (IAS 36 «Impairment of Assets»)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37 «</w:t>
      </w:r>
      <w:r w:rsidRPr="004D75E8">
        <w:rPr>
          <w:rFonts w:ascii="Times New Roman" w:eastAsia="Times New Roman" w:hAnsi="Times New Roman" w:cs="Times New Roman"/>
          <w:sz w:val="24"/>
          <w:szCs w:val="24"/>
          <w:lang w:eastAsia="ru-RU"/>
        </w:rPr>
        <w:t>Резервы</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условные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обязательства</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условные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активы</w:t>
      </w:r>
      <w:r w:rsidRPr="004D75E8">
        <w:rPr>
          <w:rFonts w:ascii="Times New Roman" w:eastAsia="Times New Roman" w:hAnsi="Times New Roman" w:cs="Times New Roman"/>
          <w:sz w:val="24"/>
          <w:szCs w:val="24"/>
          <w:lang w:val="en-US" w:eastAsia="ru-RU"/>
        </w:rPr>
        <w:t xml:space="preserve">» (IAS 37 «Provisions, Contingent Liabilities and Contingent Assets»)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38 «Нематериальные активы» (IAS 38 «</w:t>
      </w:r>
      <w:proofErr w:type="spellStart"/>
      <w:r w:rsidRPr="004D75E8">
        <w:rPr>
          <w:rFonts w:ascii="Times New Roman" w:eastAsia="Times New Roman" w:hAnsi="Times New Roman" w:cs="Times New Roman"/>
          <w:sz w:val="24"/>
          <w:szCs w:val="24"/>
          <w:lang w:eastAsia="ru-RU"/>
        </w:rPr>
        <w:t>Intangible</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Assets</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val="en-US" w:eastAsia="ru-RU"/>
        </w:rPr>
      </w:pPr>
      <w:proofErr w:type="gramStart"/>
      <w:r w:rsidRPr="004D75E8">
        <w:rPr>
          <w:rFonts w:ascii="Times New Roman" w:eastAsia="Times New Roman" w:hAnsi="Times New Roman" w:cs="Times New Roman"/>
          <w:sz w:val="24"/>
          <w:szCs w:val="24"/>
          <w:lang w:eastAsia="ru-RU"/>
        </w:rPr>
        <w:t>МСФО</w:t>
      </w:r>
      <w:r w:rsidRPr="004D75E8">
        <w:rPr>
          <w:rFonts w:ascii="Times New Roman" w:eastAsia="Times New Roman" w:hAnsi="Times New Roman" w:cs="Times New Roman"/>
          <w:sz w:val="24"/>
          <w:szCs w:val="24"/>
          <w:lang w:val="en-US" w:eastAsia="ru-RU"/>
        </w:rPr>
        <w:t xml:space="preserve"> 39 «</w:t>
      </w:r>
      <w:r w:rsidRPr="004D75E8">
        <w:rPr>
          <w:rFonts w:ascii="Times New Roman" w:eastAsia="Times New Roman" w:hAnsi="Times New Roman" w:cs="Times New Roman"/>
          <w:sz w:val="24"/>
          <w:szCs w:val="24"/>
          <w:lang w:eastAsia="ru-RU"/>
        </w:rPr>
        <w:t>Финансовые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инструменты</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признание</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и</w:t>
      </w:r>
      <w:r w:rsidRPr="004D75E8">
        <w:rPr>
          <w:rFonts w:ascii="Times New Roman" w:eastAsia="Times New Roman" w:hAnsi="Times New Roman" w:cs="Times New Roman"/>
          <w:sz w:val="24"/>
          <w:szCs w:val="24"/>
          <w:lang w:val="en-US" w:eastAsia="ru-RU"/>
        </w:rPr>
        <w:t xml:space="preserve"> </w:t>
      </w:r>
      <w:r w:rsidRPr="004D75E8">
        <w:rPr>
          <w:rFonts w:ascii="Times New Roman" w:eastAsia="Times New Roman" w:hAnsi="Times New Roman" w:cs="Times New Roman"/>
          <w:sz w:val="24"/>
          <w:szCs w:val="24"/>
          <w:lang w:eastAsia="ru-RU"/>
        </w:rPr>
        <w:t>оценка</w:t>
      </w:r>
      <w:r w:rsidRPr="004D75E8">
        <w:rPr>
          <w:rFonts w:ascii="Times New Roman" w:eastAsia="Times New Roman" w:hAnsi="Times New Roman" w:cs="Times New Roman"/>
          <w:sz w:val="24"/>
          <w:szCs w:val="24"/>
          <w:lang w:val="en-US" w:eastAsia="ru-RU"/>
        </w:rPr>
        <w:t>» (IAS 39 «Financial Instruments:</w:t>
      </w:r>
      <w:proofErr w:type="gramEnd"/>
      <w:r w:rsidRPr="004D75E8">
        <w:rPr>
          <w:rFonts w:ascii="Times New Roman" w:eastAsia="Times New Roman" w:hAnsi="Times New Roman" w:cs="Times New Roman"/>
          <w:sz w:val="24"/>
          <w:szCs w:val="24"/>
          <w:lang w:val="en-US" w:eastAsia="ru-RU"/>
        </w:rPr>
        <w:t xml:space="preserve"> Recognition and Measurement»)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40 «Инвестиционное имущество» (IAS 40 «</w:t>
      </w:r>
      <w:proofErr w:type="spellStart"/>
      <w:r w:rsidRPr="004D75E8">
        <w:rPr>
          <w:rFonts w:ascii="Times New Roman" w:eastAsia="Times New Roman" w:hAnsi="Times New Roman" w:cs="Times New Roman"/>
          <w:sz w:val="24"/>
          <w:szCs w:val="24"/>
          <w:lang w:eastAsia="ru-RU"/>
        </w:rPr>
        <w:t>Investment</w:t>
      </w:r>
      <w:proofErr w:type="spellEnd"/>
      <w:r w:rsidRPr="004D75E8">
        <w:rPr>
          <w:rFonts w:ascii="Times New Roman" w:eastAsia="Times New Roman" w:hAnsi="Times New Roman" w:cs="Times New Roman"/>
          <w:sz w:val="24"/>
          <w:szCs w:val="24"/>
          <w:lang w:eastAsia="ru-RU"/>
        </w:rPr>
        <w:t xml:space="preserve"> </w:t>
      </w:r>
      <w:proofErr w:type="spellStart"/>
      <w:r w:rsidRPr="004D75E8">
        <w:rPr>
          <w:rFonts w:ascii="Times New Roman" w:eastAsia="Times New Roman" w:hAnsi="Times New Roman" w:cs="Times New Roman"/>
          <w:sz w:val="24"/>
          <w:szCs w:val="24"/>
          <w:lang w:eastAsia="ru-RU"/>
        </w:rPr>
        <w:t>Property</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41 «Сельское хозяйство» (IAS 41 «</w:t>
      </w:r>
      <w:proofErr w:type="spellStart"/>
      <w:r w:rsidRPr="004D75E8">
        <w:rPr>
          <w:rFonts w:ascii="Times New Roman" w:eastAsia="Times New Roman" w:hAnsi="Times New Roman" w:cs="Times New Roman"/>
          <w:sz w:val="24"/>
          <w:szCs w:val="24"/>
          <w:lang w:eastAsia="ru-RU"/>
        </w:rPr>
        <w:t>Agriculture</w:t>
      </w:r>
      <w:proofErr w:type="spellEnd"/>
      <w:r w:rsidRPr="004D75E8">
        <w:rPr>
          <w:rFonts w:ascii="Times New Roman" w:eastAsia="Times New Roman" w:hAnsi="Times New Roman" w:cs="Times New Roman"/>
          <w:sz w:val="24"/>
          <w:szCs w:val="24"/>
          <w:lang w:eastAsia="ru-RU"/>
        </w:rPr>
        <w:t xml:space="preserve">»)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МСФО (IFRS) 1</w:t>
      </w:r>
      <w:proofErr w:type="gramStart"/>
      <w:r w:rsidRPr="004D75E8">
        <w:rPr>
          <w:rFonts w:ascii="Times New Roman" w:eastAsia="Times New Roman" w:hAnsi="Times New Roman" w:cs="Times New Roman"/>
          <w:sz w:val="24"/>
          <w:szCs w:val="24"/>
          <w:lang w:eastAsia="ru-RU"/>
        </w:rPr>
        <w:t xml:space="preserve"> П</w:t>
      </w:r>
      <w:proofErr w:type="gramEnd"/>
      <w:r w:rsidRPr="004D75E8">
        <w:rPr>
          <w:rFonts w:ascii="Times New Roman" w:eastAsia="Times New Roman" w:hAnsi="Times New Roman" w:cs="Times New Roman"/>
          <w:sz w:val="24"/>
          <w:szCs w:val="24"/>
          <w:lang w:eastAsia="ru-RU"/>
        </w:rPr>
        <w:t xml:space="preserve">ервое применение МСФО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 xml:space="preserve">МСФО (IFRS) 2 Выплаты, увязываемые с акциями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 xml:space="preserve">МСФО (IFRS) 3 Объединение бизнеса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 xml:space="preserve">МСФО (IFRS) 4 Договор страхования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 xml:space="preserve">МСФО (IFRS) 5 </w:t>
      </w:r>
      <w:proofErr w:type="spellStart"/>
      <w:r w:rsidRPr="004D75E8">
        <w:rPr>
          <w:rFonts w:ascii="Times New Roman" w:eastAsia="Times New Roman" w:hAnsi="Times New Roman" w:cs="Times New Roman"/>
          <w:sz w:val="24"/>
          <w:szCs w:val="24"/>
          <w:lang w:eastAsia="ru-RU"/>
        </w:rPr>
        <w:t>Внеоборотные</w:t>
      </w:r>
      <w:proofErr w:type="spellEnd"/>
      <w:r w:rsidRPr="004D75E8">
        <w:rPr>
          <w:rFonts w:ascii="Times New Roman" w:eastAsia="Times New Roman" w:hAnsi="Times New Roman" w:cs="Times New Roman"/>
          <w:sz w:val="24"/>
          <w:szCs w:val="24"/>
          <w:lang w:eastAsia="ru-RU"/>
        </w:rPr>
        <w:t xml:space="preserve"> активы, удерживаемые для продажи, и прекращения операции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 xml:space="preserve">МСФО (IFRS) 6 Разведка и определение стоимости минеральных ресурсов </w:t>
      </w:r>
    </w:p>
    <w:p w:rsidR="004D75E8" w:rsidRPr="004D75E8" w:rsidRDefault="004D75E8" w:rsidP="00EF0F4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4D75E8">
        <w:rPr>
          <w:rFonts w:ascii="Times New Roman" w:eastAsia="Times New Roman" w:hAnsi="Times New Roman" w:cs="Times New Roman"/>
          <w:sz w:val="24"/>
          <w:szCs w:val="24"/>
          <w:lang w:eastAsia="ru-RU"/>
        </w:rPr>
        <w:t xml:space="preserve">МСФО (IFRS) 7 Финансовые инструменты: раскрытие </w:t>
      </w:r>
    </w:p>
    <w:p w:rsidR="004D75E8" w:rsidRDefault="004D75E8" w:rsidP="004D75E8">
      <w:pPr>
        <w:pStyle w:val="3"/>
        <w:spacing w:line="360" w:lineRule="auto"/>
        <w:ind w:left="426"/>
      </w:pPr>
    </w:p>
    <w:p w:rsidR="00D67A0C" w:rsidRPr="007E65EE" w:rsidRDefault="00D67A0C" w:rsidP="007E65EE">
      <w:pPr>
        <w:rPr>
          <w:rFonts w:ascii="Times New Roman" w:hAnsi="Times New Roman" w:cs="Times New Roman"/>
          <w:sz w:val="28"/>
          <w:szCs w:val="28"/>
        </w:rPr>
      </w:pPr>
    </w:p>
    <w:sectPr w:rsidR="00D67A0C" w:rsidRPr="007E65EE" w:rsidSect="00A006D0">
      <w:headerReference w:type="default" r:id="rId10"/>
      <w:footerReference w:type="defaul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8B" w:rsidRDefault="0037798B" w:rsidP="00CD4627">
      <w:pPr>
        <w:spacing w:after="0" w:line="240" w:lineRule="auto"/>
      </w:pPr>
      <w:r>
        <w:separator/>
      </w:r>
    </w:p>
  </w:endnote>
  <w:endnote w:type="continuationSeparator" w:id="0">
    <w:p w:rsidR="0037798B" w:rsidRDefault="0037798B" w:rsidP="00CD4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AFF" w:usb1="C000605B" w:usb2="00000029" w:usb3="00000000" w:csb0="000101FF" w:csb1="00000000"/>
  </w:font>
  <w:font w:name="FreeSetDemiBold">
    <w:altName w:val="Cambria"/>
    <w:panose1 w:val="00000000000000000000"/>
    <w:charset w:val="CC"/>
    <w:family w:val="swiss"/>
    <w:notTrueType/>
    <w:pitch w:val="default"/>
    <w:sig w:usb0="00000201" w:usb1="00000000" w:usb2="00000000" w:usb3="00000000" w:csb0="00000004" w:csb1="00000000"/>
  </w:font>
  <w:font w:name="Univers-Bold">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48889"/>
      <w:docPartObj>
        <w:docPartGallery w:val="Page Numbers (Bottom of Page)"/>
        <w:docPartUnique/>
      </w:docPartObj>
    </w:sdtPr>
    <w:sdtContent>
      <w:p w:rsidR="00C90C1D" w:rsidRDefault="00C90C1D">
        <w:pPr>
          <w:pStyle w:val="af0"/>
          <w:jc w:val="right"/>
        </w:pPr>
        <w:fldSimple w:instr=" PAGE   \* MERGEFORMAT ">
          <w:r w:rsidR="0097401D">
            <w:rPr>
              <w:noProof/>
            </w:rPr>
            <w:t>1</w:t>
          </w:r>
        </w:fldSimple>
      </w:p>
    </w:sdtContent>
  </w:sdt>
  <w:p w:rsidR="00C90C1D" w:rsidRDefault="00C90C1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48887"/>
      <w:docPartObj>
        <w:docPartGallery w:val="Page Numbers (Bottom of Page)"/>
        <w:docPartUnique/>
      </w:docPartObj>
    </w:sdtPr>
    <w:sdtContent>
      <w:p w:rsidR="00C90C1D" w:rsidRDefault="00C90C1D">
        <w:pPr>
          <w:pStyle w:val="af0"/>
          <w:jc w:val="right"/>
        </w:pPr>
        <w:fldSimple w:instr=" PAGE   \* MERGEFORMAT ">
          <w:r>
            <w:rPr>
              <w:noProof/>
            </w:rPr>
            <w:t>1</w:t>
          </w:r>
        </w:fldSimple>
      </w:p>
    </w:sdtContent>
  </w:sdt>
  <w:p w:rsidR="00C90C1D" w:rsidRDefault="00C90C1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8B" w:rsidRDefault="0037798B" w:rsidP="00CD4627">
      <w:pPr>
        <w:spacing w:after="0" w:line="240" w:lineRule="auto"/>
      </w:pPr>
      <w:r>
        <w:separator/>
      </w:r>
    </w:p>
  </w:footnote>
  <w:footnote w:type="continuationSeparator" w:id="0">
    <w:p w:rsidR="0037798B" w:rsidRDefault="0037798B" w:rsidP="00CD4627">
      <w:pPr>
        <w:spacing w:after="0" w:line="240" w:lineRule="auto"/>
      </w:pPr>
      <w:r>
        <w:continuationSeparator/>
      </w:r>
    </w:p>
  </w:footnote>
  <w:footnote w:id="1">
    <w:p w:rsidR="00C90C1D" w:rsidRDefault="00C90C1D">
      <w:pPr>
        <w:pStyle w:val="a4"/>
      </w:pPr>
      <w:r>
        <w:rPr>
          <w:rStyle w:val="a6"/>
        </w:rPr>
        <w:footnoteRef/>
      </w:r>
      <w:r>
        <w:t xml:space="preserve"> </w:t>
      </w:r>
      <w:r w:rsidRPr="004D75E8">
        <w:rPr>
          <w:rStyle w:val="titledateend"/>
          <w:bCs/>
          <w:i/>
        </w:rPr>
        <w:t>Приказ Минфина России от 31.10.2012 № 143н "О введении в действие документов Международных стандартов финансовой отчетности на территории Российской Федерации"</w:t>
      </w:r>
    </w:p>
  </w:footnote>
  <w:footnote w:id="2">
    <w:p w:rsidR="00C90C1D" w:rsidRPr="00D46156" w:rsidRDefault="00C90C1D">
      <w:pPr>
        <w:pStyle w:val="a4"/>
      </w:pPr>
      <w:r>
        <w:rPr>
          <w:rStyle w:val="a6"/>
        </w:rPr>
        <w:footnoteRef/>
      </w:r>
      <w:r>
        <w:t xml:space="preserve"> </w:t>
      </w:r>
      <w:r w:rsidRPr="00B51292">
        <w:rPr>
          <w:i/>
          <w:iCs/>
        </w:rPr>
        <w:t>Институт дипломированных бухгалтеров Англ</w:t>
      </w:r>
      <w:proofErr w:type="gramStart"/>
      <w:r w:rsidRPr="00B51292">
        <w:rPr>
          <w:i/>
          <w:iCs/>
        </w:rPr>
        <w:t>ии и Уэ</w:t>
      </w:r>
      <w:proofErr w:type="gramEnd"/>
      <w:r w:rsidRPr="00B51292">
        <w:rPr>
          <w:i/>
          <w:iCs/>
        </w:rPr>
        <w:t>льса</w:t>
      </w:r>
    </w:p>
  </w:footnote>
  <w:footnote w:id="3">
    <w:p w:rsidR="00C90C1D" w:rsidRPr="00542D90" w:rsidRDefault="00C90C1D">
      <w:pPr>
        <w:pStyle w:val="a4"/>
      </w:pPr>
      <w:r>
        <w:rPr>
          <w:rStyle w:val="a6"/>
        </w:rPr>
        <w:footnoteRef/>
      </w:r>
      <w:r>
        <w:t xml:space="preserve"> </w:t>
      </w:r>
      <w:r w:rsidRPr="00B51292">
        <w:rPr>
          <w:i/>
          <w:iCs/>
        </w:rPr>
        <w:t>Международная федерация бухгалтеров</w:t>
      </w:r>
    </w:p>
  </w:footnote>
  <w:footnote w:id="4">
    <w:p w:rsidR="00C90C1D" w:rsidRDefault="00C90C1D">
      <w:pPr>
        <w:pStyle w:val="a4"/>
      </w:pPr>
      <w:r>
        <w:rPr>
          <w:rStyle w:val="a6"/>
        </w:rPr>
        <w:footnoteRef/>
      </w:r>
      <w:r>
        <w:t xml:space="preserve"> </w:t>
      </w:r>
      <w:r w:rsidRPr="00B51292">
        <w:rPr>
          <w:i/>
          <w:iCs/>
        </w:rPr>
        <w:t>Комитет по МСФО, Введение к международным стандартам финансовой отчётности, параграф 2.</w:t>
      </w:r>
    </w:p>
  </w:footnote>
  <w:footnote w:id="5">
    <w:p w:rsidR="00C90C1D" w:rsidRDefault="00C90C1D" w:rsidP="00454499">
      <w:pPr>
        <w:pStyle w:val="a4"/>
      </w:pPr>
      <w:r w:rsidRPr="00542D90">
        <w:rPr>
          <w:rStyle w:val="a6"/>
        </w:rPr>
        <w:footnoteRef/>
      </w:r>
      <w:r>
        <w:t xml:space="preserve"> </w:t>
      </w:r>
      <w:r w:rsidRPr="00B51292">
        <w:rPr>
          <w:i/>
          <w:iCs/>
        </w:rPr>
        <w:t xml:space="preserve">Применение МСФО: в 3 ч./ Пер. с англ. – 5-е изд., </w:t>
      </w:r>
      <w:proofErr w:type="spellStart"/>
      <w:r w:rsidRPr="00B51292">
        <w:rPr>
          <w:i/>
          <w:iCs/>
        </w:rPr>
        <w:t>перераб</w:t>
      </w:r>
      <w:proofErr w:type="spellEnd"/>
      <w:r w:rsidRPr="00B51292">
        <w:rPr>
          <w:i/>
          <w:iCs/>
        </w:rPr>
        <w:t xml:space="preserve">. и доп. – М.: </w:t>
      </w:r>
      <w:proofErr w:type="spellStart"/>
      <w:r w:rsidRPr="00B51292">
        <w:rPr>
          <w:i/>
          <w:iCs/>
        </w:rPr>
        <w:t>Альпина</w:t>
      </w:r>
      <w:proofErr w:type="spellEnd"/>
      <w:r w:rsidRPr="00B51292">
        <w:rPr>
          <w:i/>
          <w:iCs/>
        </w:rPr>
        <w:t xml:space="preserve"> </w:t>
      </w:r>
      <w:proofErr w:type="spellStart"/>
      <w:r w:rsidRPr="00B51292">
        <w:rPr>
          <w:i/>
          <w:iCs/>
        </w:rPr>
        <w:t>Паблишерз</w:t>
      </w:r>
      <w:proofErr w:type="spellEnd"/>
      <w:r w:rsidRPr="00B51292">
        <w:rPr>
          <w:i/>
          <w:iCs/>
        </w:rPr>
        <w:t>, 2010.</w:t>
      </w:r>
    </w:p>
  </w:footnote>
  <w:footnote w:id="6">
    <w:p w:rsidR="00C90C1D" w:rsidRPr="001505B0" w:rsidRDefault="00C90C1D">
      <w:pPr>
        <w:pStyle w:val="a4"/>
        <w:rPr>
          <w:i/>
          <w:iCs/>
          <w:lang w:val="en-US"/>
        </w:rPr>
      </w:pPr>
      <w:r>
        <w:rPr>
          <w:rStyle w:val="a6"/>
        </w:rPr>
        <w:footnoteRef/>
      </w:r>
      <w:r w:rsidRPr="00715E40">
        <w:rPr>
          <w:lang w:val="en-US"/>
        </w:rPr>
        <w:t xml:space="preserve"> </w:t>
      </w:r>
      <w:r w:rsidRPr="00B51292">
        <w:rPr>
          <w:i/>
          <w:iCs/>
        </w:rPr>
        <w:t>МСФО</w:t>
      </w:r>
      <w:r w:rsidRPr="0076686F">
        <w:rPr>
          <w:i/>
          <w:iCs/>
          <w:lang w:val="en-US"/>
        </w:rPr>
        <w:t xml:space="preserve"> </w:t>
      </w:r>
      <w:r w:rsidRPr="00B51292">
        <w:rPr>
          <w:i/>
          <w:iCs/>
        </w:rPr>
        <w:t>в</w:t>
      </w:r>
      <w:r w:rsidRPr="001505B0">
        <w:rPr>
          <w:i/>
          <w:iCs/>
          <w:lang w:val="en-US"/>
        </w:rPr>
        <w:t xml:space="preserve"> </w:t>
      </w:r>
      <w:r w:rsidRPr="00B51292">
        <w:rPr>
          <w:i/>
          <w:iCs/>
        </w:rPr>
        <w:t>кармане</w:t>
      </w:r>
      <w:r w:rsidRPr="001505B0">
        <w:rPr>
          <w:i/>
          <w:iCs/>
          <w:lang w:val="en-US"/>
        </w:rPr>
        <w:t xml:space="preserve"> – 2011, Deloitte</w:t>
      </w:r>
    </w:p>
  </w:footnote>
  <w:footnote w:id="7">
    <w:p w:rsidR="00C90C1D" w:rsidRPr="0076686F" w:rsidRDefault="00C90C1D" w:rsidP="00A20F08">
      <w:pPr>
        <w:pStyle w:val="a4"/>
        <w:rPr>
          <w:i/>
          <w:iCs/>
          <w:lang w:val="en-US"/>
        </w:rPr>
      </w:pPr>
      <w:r>
        <w:rPr>
          <w:rStyle w:val="a6"/>
        </w:rPr>
        <w:footnoteRef/>
      </w:r>
      <w:r w:rsidRPr="0005719D">
        <w:rPr>
          <w:lang w:val="en-US"/>
        </w:rPr>
        <w:t xml:space="preserve"> </w:t>
      </w:r>
      <w:r w:rsidRPr="0076686F">
        <w:rPr>
          <w:i/>
          <w:iCs/>
          <w:lang w:val="en-US"/>
        </w:rPr>
        <w:t>International Organization of Securities Commissions, IOSCO</w:t>
      </w:r>
    </w:p>
  </w:footnote>
  <w:footnote w:id="8">
    <w:p w:rsidR="00C90C1D" w:rsidRPr="0076686F" w:rsidRDefault="00C90C1D">
      <w:pPr>
        <w:pStyle w:val="a4"/>
        <w:rPr>
          <w:lang w:val="en-US"/>
        </w:rPr>
      </w:pPr>
      <w:r w:rsidRPr="00B51292">
        <w:rPr>
          <w:rStyle w:val="a6"/>
        </w:rPr>
        <w:footnoteRef/>
      </w:r>
      <w:r w:rsidRPr="0076686F">
        <w:rPr>
          <w:i/>
          <w:iCs/>
          <w:lang w:val="en-US"/>
        </w:rPr>
        <w:t xml:space="preserve"> International Accounting Standards</w:t>
      </w:r>
    </w:p>
  </w:footnote>
  <w:footnote w:id="9">
    <w:p w:rsidR="00C90C1D" w:rsidRPr="0007612E" w:rsidRDefault="00C90C1D">
      <w:pPr>
        <w:pStyle w:val="a4"/>
        <w:rPr>
          <w:lang w:val="en-US"/>
        </w:rPr>
      </w:pPr>
      <w:r>
        <w:rPr>
          <w:rStyle w:val="a6"/>
        </w:rPr>
        <w:footnoteRef/>
      </w:r>
      <w:r w:rsidRPr="0076686F">
        <w:rPr>
          <w:lang w:val="en-US"/>
        </w:rPr>
        <w:t xml:space="preserve"> </w:t>
      </w:r>
      <w:r w:rsidRPr="0076686F">
        <w:rPr>
          <w:i/>
          <w:iCs/>
          <w:lang w:val="en-US"/>
        </w:rPr>
        <w:t>International Financial Reporting Standards</w:t>
      </w:r>
    </w:p>
  </w:footnote>
  <w:footnote w:id="10">
    <w:p w:rsidR="00C90C1D" w:rsidRPr="00EE190B" w:rsidRDefault="00C90C1D">
      <w:pPr>
        <w:pStyle w:val="a4"/>
      </w:pPr>
      <w:r>
        <w:rPr>
          <w:rStyle w:val="a6"/>
        </w:rPr>
        <w:footnoteRef/>
      </w:r>
      <w:r>
        <w:t xml:space="preserve"> МСФО (</w:t>
      </w:r>
      <w:r>
        <w:rPr>
          <w:lang w:val="en-US"/>
        </w:rPr>
        <w:t>IAS</w:t>
      </w:r>
      <w:r w:rsidRPr="00EE190B">
        <w:t xml:space="preserve">) </w:t>
      </w:r>
      <w:r>
        <w:t xml:space="preserve">1, </w:t>
      </w:r>
      <w:r w:rsidRPr="00EE190B">
        <w:rPr>
          <w:i/>
        </w:rPr>
        <w:t>«Предоставление финансовой отчётности»</w:t>
      </w:r>
    </w:p>
  </w:footnote>
  <w:footnote w:id="11">
    <w:p w:rsidR="00C90C1D" w:rsidRPr="00957410" w:rsidRDefault="00C90C1D">
      <w:pPr>
        <w:pStyle w:val="a4"/>
      </w:pPr>
      <w:r>
        <w:rPr>
          <w:rStyle w:val="a6"/>
        </w:rPr>
        <w:footnoteRef/>
      </w:r>
      <w:r>
        <w:t xml:space="preserve"> МСФО (</w:t>
      </w:r>
      <w:r>
        <w:rPr>
          <w:lang w:val="en-US"/>
        </w:rPr>
        <w:t>IAS</w:t>
      </w:r>
      <w:r w:rsidRPr="001505B0">
        <w:t xml:space="preserve">) 8, </w:t>
      </w:r>
      <w:r>
        <w:t>параграф 3.</w:t>
      </w:r>
    </w:p>
  </w:footnote>
  <w:footnote w:id="12">
    <w:p w:rsidR="00C90C1D" w:rsidRDefault="00C90C1D">
      <w:pPr>
        <w:pStyle w:val="a4"/>
      </w:pPr>
      <w:r w:rsidRPr="004A2C92">
        <w:rPr>
          <w:rStyle w:val="a6"/>
        </w:rPr>
        <w:footnoteRef/>
      </w:r>
      <w:r w:rsidRPr="004A2C92">
        <w:rPr>
          <w:i/>
        </w:rPr>
        <w:t>Материалы семинара по проблемам учета на совместных предприятиях, проводившегося Центром ООН по ТНК и Торгово-промышленной палатой СССР в июне 1989 года в Москве.</w:t>
      </w:r>
    </w:p>
  </w:footnote>
  <w:footnote w:id="13">
    <w:p w:rsidR="00C90C1D" w:rsidRDefault="00C90C1D">
      <w:pPr>
        <w:pStyle w:val="a4"/>
      </w:pPr>
      <w:r>
        <w:rPr>
          <w:rStyle w:val="a6"/>
        </w:rPr>
        <w:footnoteRef/>
      </w:r>
      <w:r>
        <w:t xml:space="preserve"> </w:t>
      </w:r>
      <w:r w:rsidRPr="004A2C92">
        <w:rPr>
          <w:i/>
        </w:rPr>
        <w:t>Пост</w:t>
      </w:r>
      <w:r>
        <w:rPr>
          <w:i/>
        </w:rPr>
        <w:t xml:space="preserve">ановление </w:t>
      </w:r>
      <w:r w:rsidRPr="004A2C92">
        <w:rPr>
          <w:i/>
        </w:rPr>
        <w:t>Верховного Совета РФ от 23.10.1992 № 3708-1</w:t>
      </w:r>
    </w:p>
  </w:footnote>
  <w:footnote w:id="14">
    <w:p w:rsidR="00C90C1D" w:rsidRDefault="00C90C1D">
      <w:pPr>
        <w:pStyle w:val="a4"/>
      </w:pPr>
      <w:r>
        <w:rPr>
          <w:rStyle w:val="a6"/>
        </w:rPr>
        <w:footnoteRef/>
      </w:r>
      <w:r>
        <w:t xml:space="preserve"> </w:t>
      </w:r>
      <w:r w:rsidRPr="00931F40">
        <w:rPr>
          <w:i/>
        </w:rPr>
        <w:t>N208-ФЗ "О консолидированной финансовой отчетности"</w:t>
      </w:r>
      <w:r>
        <w:rPr>
          <w:i/>
        </w:rPr>
        <w:t xml:space="preserve"> от 27.07.2010</w:t>
      </w:r>
    </w:p>
  </w:footnote>
  <w:footnote w:id="15">
    <w:p w:rsidR="00C90C1D" w:rsidRDefault="00C90C1D">
      <w:pPr>
        <w:pStyle w:val="a4"/>
      </w:pPr>
      <w:r>
        <w:rPr>
          <w:rStyle w:val="a6"/>
        </w:rPr>
        <w:footnoteRef/>
      </w:r>
      <w:r>
        <w:t xml:space="preserve"> </w:t>
      </w:r>
      <w:r>
        <w:rPr>
          <w:rStyle w:val="nowrap"/>
        </w:rPr>
        <w:t>Розанова Н. М.</w:t>
      </w:r>
      <w:r>
        <w:t xml:space="preserve">, </w:t>
      </w:r>
      <w:proofErr w:type="spellStart"/>
      <w:r>
        <w:rPr>
          <w:rStyle w:val="nowrap"/>
        </w:rPr>
        <w:t>Буличенко</w:t>
      </w:r>
      <w:proofErr w:type="spellEnd"/>
      <w:r>
        <w:rPr>
          <w:rStyle w:val="nowrap"/>
        </w:rPr>
        <w:t xml:space="preserve"> Д. А.</w:t>
      </w:r>
      <w:r>
        <w:t xml:space="preserve"> Конкуренция в телекоммуникационной отрасли: сетевой рынок в условиях продуктовой дифференциации // </w:t>
      </w:r>
      <w:proofErr w:type="spellStart"/>
      <w:r>
        <w:t>Terra</w:t>
      </w:r>
      <w:proofErr w:type="spellEnd"/>
      <w:r>
        <w:t xml:space="preserve"> </w:t>
      </w:r>
      <w:proofErr w:type="spellStart"/>
      <w:r>
        <w:t>Economicus</w:t>
      </w:r>
      <w:proofErr w:type="spellEnd"/>
      <w:r>
        <w:t>. 2011. Т. 9. № 1. С. 17-32.</w:t>
      </w:r>
    </w:p>
  </w:footnote>
  <w:footnote w:id="16">
    <w:p w:rsidR="00C90C1D" w:rsidRDefault="00C90C1D">
      <w:pPr>
        <w:pStyle w:val="a4"/>
      </w:pPr>
      <w:r>
        <w:rPr>
          <w:rStyle w:val="a6"/>
        </w:rPr>
        <w:footnoteRef/>
      </w:r>
      <w:r>
        <w:t xml:space="preserve"> Нью-Йоркская фондовая биржа</w:t>
      </w:r>
    </w:p>
  </w:footnote>
  <w:footnote w:id="17">
    <w:p w:rsidR="00C90C1D" w:rsidRPr="0068785E" w:rsidRDefault="00C90C1D" w:rsidP="0068785E">
      <w:r>
        <w:rPr>
          <w:rStyle w:val="a6"/>
        </w:rPr>
        <w:footnoteRef/>
      </w:r>
      <w:r>
        <w:t xml:space="preserve"> Рейтинг ТАСС-Телеком на основе годовых</w:t>
      </w:r>
      <w:r w:rsidRPr="0068785E">
        <w:t xml:space="preserve"> отчеты компаний, собственн</w:t>
      </w:r>
      <w:r>
        <w:t>ой</w:t>
      </w:r>
      <w:r w:rsidRPr="0068785E">
        <w:t xml:space="preserve"> информаци</w:t>
      </w:r>
      <w:r>
        <w:t>и</w:t>
      </w:r>
      <w:r w:rsidRPr="0068785E">
        <w:t xml:space="preserve"> ТАСС-Телеком и данны</w:t>
      </w:r>
      <w:r>
        <w:t>х</w:t>
      </w:r>
      <w:r w:rsidRPr="0068785E">
        <w:t xml:space="preserve"> Министерства связи и массовых коммуникаций РФ.</w:t>
      </w:r>
    </w:p>
    <w:p w:rsidR="00C90C1D" w:rsidRDefault="00C90C1D">
      <w:pPr>
        <w:pStyle w:val="a4"/>
      </w:pPr>
    </w:p>
  </w:footnote>
  <w:footnote w:id="18">
    <w:p w:rsidR="00C90C1D" w:rsidRPr="00ED3741" w:rsidRDefault="00C90C1D">
      <w:pPr>
        <w:pStyle w:val="a4"/>
      </w:pPr>
      <w:r>
        <w:rPr>
          <w:rStyle w:val="a6"/>
        </w:rPr>
        <w:footnoteRef/>
      </w:r>
      <w:r>
        <w:t xml:space="preserve"> По данным компании </w:t>
      </w:r>
      <w:r>
        <w:rPr>
          <w:lang w:val="en-US"/>
        </w:rPr>
        <w:t>McKinsey</w:t>
      </w:r>
    </w:p>
  </w:footnote>
  <w:footnote w:id="19">
    <w:p w:rsidR="00C90C1D" w:rsidRDefault="00C90C1D">
      <w:pPr>
        <w:pStyle w:val="a4"/>
      </w:pPr>
      <w:r>
        <w:rPr>
          <w:rStyle w:val="a6"/>
        </w:rPr>
        <w:footnoteRef/>
      </w:r>
      <w:r>
        <w:t xml:space="preserve"> </w:t>
      </w:r>
      <w:r>
        <w:rPr>
          <w:rStyle w:val="nowrap"/>
        </w:rPr>
        <w:t>Розанова Н. М.</w:t>
      </w:r>
      <w:r>
        <w:t xml:space="preserve">, </w:t>
      </w:r>
      <w:proofErr w:type="spellStart"/>
      <w:r>
        <w:rPr>
          <w:rStyle w:val="nowrap"/>
        </w:rPr>
        <w:t>Буличенко</w:t>
      </w:r>
      <w:proofErr w:type="spellEnd"/>
      <w:r>
        <w:rPr>
          <w:rStyle w:val="nowrap"/>
        </w:rPr>
        <w:t xml:space="preserve"> Д. А.</w:t>
      </w:r>
      <w:r>
        <w:t xml:space="preserve"> Конкуренция в телекоммуникационной отрасли: сетевой рынок в условиях продуктовой дифференциации // </w:t>
      </w:r>
      <w:proofErr w:type="spellStart"/>
      <w:r>
        <w:t>Terra</w:t>
      </w:r>
      <w:proofErr w:type="spellEnd"/>
      <w:r>
        <w:t xml:space="preserve"> </w:t>
      </w:r>
      <w:proofErr w:type="spellStart"/>
      <w:r>
        <w:t>Economicus</w:t>
      </w:r>
      <w:proofErr w:type="spellEnd"/>
      <w:r>
        <w:t>. 2011. Т. 9. № 1. С. 17-32.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D" w:rsidRDefault="00C90C1D">
    <w:pPr>
      <w:pStyle w:val="ae"/>
    </w:pPr>
  </w:p>
  <w:p w:rsidR="00C90C1D" w:rsidRDefault="00C90C1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36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120678E"/>
    <w:multiLevelType w:val="hybridMultilevel"/>
    <w:tmpl w:val="D2DC02B6"/>
    <w:lvl w:ilvl="0" w:tplc="E1FAE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3336C"/>
    <w:multiLevelType w:val="hybridMultilevel"/>
    <w:tmpl w:val="2F1CD20C"/>
    <w:lvl w:ilvl="0" w:tplc="5DB07DE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87F22"/>
    <w:multiLevelType w:val="multilevel"/>
    <w:tmpl w:val="2740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45486"/>
    <w:multiLevelType w:val="multilevel"/>
    <w:tmpl w:val="DAF2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316A0"/>
    <w:multiLevelType w:val="hybridMultilevel"/>
    <w:tmpl w:val="64E2AA68"/>
    <w:lvl w:ilvl="0" w:tplc="C28AD882">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90334C"/>
    <w:multiLevelType w:val="hybridMultilevel"/>
    <w:tmpl w:val="3CB0A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A04F9C"/>
    <w:multiLevelType w:val="hybridMultilevel"/>
    <w:tmpl w:val="C1C4F6C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30B0FA7"/>
    <w:multiLevelType w:val="hybridMultilevel"/>
    <w:tmpl w:val="E490FDCC"/>
    <w:lvl w:ilvl="0" w:tplc="15B8A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667648D"/>
    <w:multiLevelType w:val="hybridMultilevel"/>
    <w:tmpl w:val="723E38D4"/>
    <w:lvl w:ilvl="0" w:tplc="FFEEFF3A">
      <w:start w:val="1"/>
      <w:numFmt w:val="bullet"/>
      <w:lvlText w:val=""/>
      <w:lvlJc w:val="left"/>
      <w:pPr>
        <w:tabs>
          <w:tab w:val="num" w:pos="720"/>
        </w:tabs>
        <w:ind w:left="720" w:hanging="360"/>
      </w:pPr>
      <w:rPr>
        <w:rFonts w:ascii="Wingdings" w:hAnsi="Wingdings" w:hint="default"/>
        <w:color w:val="000080"/>
      </w:rPr>
    </w:lvl>
    <w:lvl w:ilvl="1" w:tplc="0419000D">
      <w:start w:val="1"/>
      <w:numFmt w:val="bullet"/>
      <w:lvlText w:val=""/>
      <w:lvlJc w:val="left"/>
      <w:pPr>
        <w:tabs>
          <w:tab w:val="num" w:pos="720"/>
        </w:tabs>
        <w:ind w:left="720" w:hanging="360"/>
      </w:pPr>
      <w:rPr>
        <w:rFonts w:ascii="Wingdings" w:hAnsi="Wingdings" w:hint="default"/>
        <w:color w:val="00336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4C5AF2"/>
    <w:multiLevelType w:val="hybridMultilevel"/>
    <w:tmpl w:val="7C14B32A"/>
    <w:lvl w:ilvl="0" w:tplc="ECCCE5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2D10296"/>
    <w:multiLevelType w:val="hybridMultilevel"/>
    <w:tmpl w:val="7E18D524"/>
    <w:lvl w:ilvl="0" w:tplc="60A2ADAE">
      <w:start w:val="1"/>
      <w:numFmt w:val="decimal"/>
      <w:lvlText w:val="%1."/>
      <w:lvlJc w:val="left"/>
      <w:pPr>
        <w:ind w:left="720" w:hanging="360"/>
      </w:pPr>
      <w:rPr>
        <w:rFonts w:eastAsiaTheme="minorHAns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E3A77"/>
    <w:multiLevelType w:val="hybridMultilevel"/>
    <w:tmpl w:val="72386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570D83"/>
    <w:multiLevelType w:val="hybridMultilevel"/>
    <w:tmpl w:val="29C24E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304759A"/>
    <w:multiLevelType w:val="hybridMultilevel"/>
    <w:tmpl w:val="04D01CA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5C6383"/>
    <w:multiLevelType w:val="hybridMultilevel"/>
    <w:tmpl w:val="1194D5D0"/>
    <w:lvl w:ilvl="0" w:tplc="D556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0601A47"/>
    <w:multiLevelType w:val="hybridMultilevel"/>
    <w:tmpl w:val="57164A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A404CB"/>
    <w:multiLevelType w:val="hybridMultilevel"/>
    <w:tmpl w:val="A9C474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06432"/>
    <w:multiLevelType w:val="hybridMultilevel"/>
    <w:tmpl w:val="1D24721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C155EA"/>
    <w:multiLevelType w:val="hybridMultilevel"/>
    <w:tmpl w:val="8A3CA432"/>
    <w:lvl w:ilvl="0" w:tplc="15B8A3B6">
      <w:start w:val="1"/>
      <w:numFmt w:val="decimal"/>
      <w:lvlText w:val="%1."/>
      <w:lvlJc w:val="left"/>
      <w:pPr>
        <w:ind w:left="149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E877F66"/>
    <w:multiLevelType w:val="hybridMultilevel"/>
    <w:tmpl w:val="3BE2B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62425A"/>
    <w:multiLevelType w:val="hybridMultilevel"/>
    <w:tmpl w:val="74FC6458"/>
    <w:lvl w:ilvl="0" w:tplc="7430F620">
      <w:start w:val="1"/>
      <w:numFmt w:val="bullet"/>
      <w:lvlText w:val=""/>
      <w:lvlJc w:val="left"/>
      <w:pPr>
        <w:tabs>
          <w:tab w:val="num" w:pos="720"/>
        </w:tabs>
        <w:ind w:left="720" w:hanging="360"/>
      </w:pPr>
      <w:rPr>
        <w:rFonts w:ascii="Wingdings" w:hAnsi="Wingdings" w:hint="default"/>
        <w:color w:val="000080"/>
      </w:rPr>
    </w:lvl>
    <w:lvl w:ilvl="1" w:tplc="BC5A7D60">
      <w:start w:val="1"/>
      <w:numFmt w:val="bullet"/>
      <w:lvlText w:val="o"/>
      <w:lvlJc w:val="left"/>
      <w:pPr>
        <w:tabs>
          <w:tab w:val="num" w:pos="1440"/>
        </w:tabs>
        <w:ind w:left="1440" w:hanging="360"/>
      </w:pPr>
      <w:rPr>
        <w:rFonts w:ascii="Courier New" w:hAnsi="Courier New" w:cs="Courier New" w:hint="default"/>
      </w:rPr>
    </w:lvl>
    <w:lvl w:ilvl="2" w:tplc="6AB40C14" w:tentative="1">
      <w:start w:val="1"/>
      <w:numFmt w:val="bullet"/>
      <w:lvlText w:val=""/>
      <w:lvlJc w:val="left"/>
      <w:pPr>
        <w:tabs>
          <w:tab w:val="num" w:pos="2160"/>
        </w:tabs>
        <w:ind w:left="2160" w:hanging="360"/>
      </w:pPr>
      <w:rPr>
        <w:rFonts w:ascii="Wingdings" w:hAnsi="Wingdings" w:hint="default"/>
      </w:rPr>
    </w:lvl>
    <w:lvl w:ilvl="3" w:tplc="C994E9F2" w:tentative="1">
      <w:start w:val="1"/>
      <w:numFmt w:val="bullet"/>
      <w:lvlText w:val=""/>
      <w:lvlJc w:val="left"/>
      <w:pPr>
        <w:tabs>
          <w:tab w:val="num" w:pos="2880"/>
        </w:tabs>
        <w:ind w:left="2880" w:hanging="360"/>
      </w:pPr>
      <w:rPr>
        <w:rFonts w:ascii="Symbol" w:hAnsi="Symbol" w:hint="default"/>
      </w:rPr>
    </w:lvl>
    <w:lvl w:ilvl="4" w:tplc="6F6617F6" w:tentative="1">
      <w:start w:val="1"/>
      <w:numFmt w:val="bullet"/>
      <w:lvlText w:val="o"/>
      <w:lvlJc w:val="left"/>
      <w:pPr>
        <w:tabs>
          <w:tab w:val="num" w:pos="3600"/>
        </w:tabs>
        <w:ind w:left="3600" w:hanging="360"/>
      </w:pPr>
      <w:rPr>
        <w:rFonts w:ascii="Courier New" w:hAnsi="Courier New" w:cs="Courier New" w:hint="default"/>
      </w:rPr>
    </w:lvl>
    <w:lvl w:ilvl="5" w:tplc="B3B0D974" w:tentative="1">
      <w:start w:val="1"/>
      <w:numFmt w:val="bullet"/>
      <w:lvlText w:val=""/>
      <w:lvlJc w:val="left"/>
      <w:pPr>
        <w:tabs>
          <w:tab w:val="num" w:pos="4320"/>
        </w:tabs>
        <w:ind w:left="4320" w:hanging="360"/>
      </w:pPr>
      <w:rPr>
        <w:rFonts w:ascii="Wingdings" w:hAnsi="Wingdings" w:hint="default"/>
      </w:rPr>
    </w:lvl>
    <w:lvl w:ilvl="6" w:tplc="BE94AFC6" w:tentative="1">
      <w:start w:val="1"/>
      <w:numFmt w:val="bullet"/>
      <w:lvlText w:val=""/>
      <w:lvlJc w:val="left"/>
      <w:pPr>
        <w:tabs>
          <w:tab w:val="num" w:pos="5040"/>
        </w:tabs>
        <w:ind w:left="5040" w:hanging="360"/>
      </w:pPr>
      <w:rPr>
        <w:rFonts w:ascii="Symbol" w:hAnsi="Symbol" w:hint="default"/>
      </w:rPr>
    </w:lvl>
    <w:lvl w:ilvl="7" w:tplc="EE142C88" w:tentative="1">
      <w:start w:val="1"/>
      <w:numFmt w:val="bullet"/>
      <w:lvlText w:val="o"/>
      <w:lvlJc w:val="left"/>
      <w:pPr>
        <w:tabs>
          <w:tab w:val="num" w:pos="5760"/>
        </w:tabs>
        <w:ind w:left="5760" w:hanging="360"/>
      </w:pPr>
      <w:rPr>
        <w:rFonts w:ascii="Courier New" w:hAnsi="Courier New" w:cs="Courier New" w:hint="default"/>
      </w:rPr>
    </w:lvl>
    <w:lvl w:ilvl="8" w:tplc="CDDE4D7C" w:tentative="1">
      <w:start w:val="1"/>
      <w:numFmt w:val="bullet"/>
      <w:lvlText w:val=""/>
      <w:lvlJc w:val="left"/>
      <w:pPr>
        <w:tabs>
          <w:tab w:val="num" w:pos="6480"/>
        </w:tabs>
        <w:ind w:left="6480" w:hanging="360"/>
      </w:pPr>
      <w:rPr>
        <w:rFonts w:ascii="Wingdings" w:hAnsi="Wingdings" w:hint="default"/>
      </w:rPr>
    </w:lvl>
  </w:abstractNum>
  <w:abstractNum w:abstractNumId="22">
    <w:nsid w:val="7720600E"/>
    <w:multiLevelType w:val="multilevel"/>
    <w:tmpl w:val="84C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5A5586"/>
    <w:multiLevelType w:val="multilevel"/>
    <w:tmpl w:val="6DD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2F6094"/>
    <w:multiLevelType w:val="hybridMultilevel"/>
    <w:tmpl w:val="B8F63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D644349"/>
    <w:multiLevelType w:val="hybridMultilevel"/>
    <w:tmpl w:val="21AE71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EF42D94"/>
    <w:multiLevelType w:val="hybridMultilevel"/>
    <w:tmpl w:val="9BC2D3DE"/>
    <w:lvl w:ilvl="0" w:tplc="D3E45EAE">
      <w:start w:val="1"/>
      <w:numFmt w:val="decimal"/>
      <w:lvlText w:val="%1."/>
      <w:lvlJc w:val="left"/>
      <w:pPr>
        <w:ind w:left="1080" w:hanging="360"/>
      </w:pPr>
      <w:rPr>
        <w:rFonts w:eastAsiaTheme="minorHAnsi"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10"/>
  </w:num>
  <w:num w:numId="4">
    <w:abstractNumId w:val="4"/>
  </w:num>
  <w:num w:numId="5">
    <w:abstractNumId w:val="22"/>
  </w:num>
  <w:num w:numId="6">
    <w:abstractNumId w:val="23"/>
  </w:num>
  <w:num w:numId="7">
    <w:abstractNumId w:val="15"/>
  </w:num>
  <w:num w:numId="8">
    <w:abstractNumId w:val="25"/>
  </w:num>
  <w:num w:numId="9">
    <w:abstractNumId w:val="24"/>
  </w:num>
  <w:num w:numId="10">
    <w:abstractNumId w:val="8"/>
  </w:num>
  <w:num w:numId="11">
    <w:abstractNumId w:val="19"/>
  </w:num>
  <w:num w:numId="12">
    <w:abstractNumId w:val="2"/>
  </w:num>
  <w:num w:numId="13">
    <w:abstractNumId w:val="26"/>
  </w:num>
  <w:num w:numId="14">
    <w:abstractNumId w:val="11"/>
  </w:num>
  <w:num w:numId="15">
    <w:abstractNumId w:val="3"/>
  </w:num>
  <w:num w:numId="16">
    <w:abstractNumId w:val="12"/>
  </w:num>
  <w:num w:numId="17">
    <w:abstractNumId w:val="20"/>
  </w:num>
  <w:num w:numId="18">
    <w:abstractNumId w:val="17"/>
  </w:num>
  <w:num w:numId="19">
    <w:abstractNumId w:val="18"/>
  </w:num>
  <w:num w:numId="20">
    <w:abstractNumId w:val="0"/>
  </w:num>
  <w:num w:numId="21">
    <w:abstractNumId w:val="6"/>
  </w:num>
  <w:num w:numId="22">
    <w:abstractNumId w:val="7"/>
  </w:num>
  <w:num w:numId="23">
    <w:abstractNumId w:val="13"/>
  </w:num>
  <w:num w:numId="24">
    <w:abstractNumId w:val="21"/>
  </w:num>
  <w:num w:numId="25">
    <w:abstractNumId w:val="16"/>
  </w:num>
  <w:num w:numId="26">
    <w:abstractNumId w:val="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3A86"/>
    <w:rsid w:val="00032307"/>
    <w:rsid w:val="00052E59"/>
    <w:rsid w:val="0005719D"/>
    <w:rsid w:val="000634D3"/>
    <w:rsid w:val="0007612E"/>
    <w:rsid w:val="000A467F"/>
    <w:rsid w:val="000B0389"/>
    <w:rsid w:val="000B419C"/>
    <w:rsid w:val="000C66FE"/>
    <w:rsid w:val="0010151B"/>
    <w:rsid w:val="001156E8"/>
    <w:rsid w:val="0013289D"/>
    <w:rsid w:val="001505B0"/>
    <w:rsid w:val="00153125"/>
    <w:rsid w:val="00180B77"/>
    <w:rsid w:val="00184D03"/>
    <w:rsid w:val="001B3E84"/>
    <w:rsid w:val="00217E9F"/>
    <w:rsid w:val="00252CA3"/>
    <w:rsid w:val="00262BC8"/>
    <w:rsid w:val="002653EF"/>
    <w:rsid w:val="002906EF"/>
    <w:rsid w:val="002A530E"/>
    <w:rsid w:val="002C5FD5"/>
    <w:rsid w:val="002E23E8"/>
    <w:rsid w:val="00300C17"/>
    <w:rsid w:val="00317856"/>
    <w:rsid w:val="00367520"/>
    <w:rsid w:val="00377665"/>
    <w:rsid w:val="0037798B"/>
    <w:rsid w:val="00381773"/>
    <w:rsid w:val="003D34E9"/>
    <w:rsid w:val="00450495"/>
    <w:rsid w:val="00454499"/>
    <w:rsid w:val="0048044A"/>
    <w:rsid w:val="004A2C92"/>
    <w:rsid w:val="004A5B89"/>
    <w:rsid w:val="004D0017"/>
    <w:rsid w:val="004D75E8"/>
    <w:rsid w:val="00525828"/>
    <w:rsid w:val="005300F8"/>
    <w:rsid w:val="00534EDA"/>
    <w:rsid w:val="00542D90"/>
    <w:rsid w:val="0056704E"/>
    <w:rsid w:val="005C6C0B"/>
    <w:rsid w:val="00616E14"/>
    <w:rsid w:val="00634B2E"/>
    <w:rsid w:val="006375DD"/>
    <w:rsid w:val="0064735D"/>
    <w:rsid w:val="00663E8B"/>
    <w:rsid w:val="00676F7D"/>
    <w:rsid w:val="0068785E"/>
    <w:rsid w:val="00687F85"/>
    <w:rsid w:val="00702BC5"/>
    <w:rsid w:val="00715E40"/>
    <w:rsid w:val="00726404"/>
    <w:rsid w:val="0076686F"/>
    <w:rsid w:val="0079310B"/>
    <w:rsid w:val="007C3FC3"/>
    <w:rsid w:val="007D78C3"/>
    <w:rsid w:val="007E65EE"/>
    <w:rsid w:val="00801A76"/>
    <w:rsid w:val="00804021"/>
    <w:rsid w:val="00804D00"/>
    <w:rsid w:val="008144E0"/>
    <w:rsid w:val="0087756E"/>
    <w:rsid w:val="00923EFB"/>
    <w:rsid w:val="00931F40"/>
    <w:rsid w:val="00953906"/>
    <w:rsid w:val="00957410"/>
    <w:rsid w:val="00963018"/>
    <w:rsid w:val="0097401D"/>
    <w:rsid w:val="0099584E"/>
    <w:rsid w:val="009B2582"/>
    <w:rsid w:val="009E3E7B"/>
    <w:rsid w:val="00A006D0"/>
    <w:rsid w:val="00A20F08"/>
    <w:rsid w:val="00A25711"/>
    <w:rsid w:val="00A25D5C"/>
    <w:rsid w:val="00A477A5"/>
    <w:rsid w:val="00A60B4F"/>
    <w:rsid w:val="00A754F1"/>
    <w:rsid w:val="00A75DEE"/>
    <w:rsid w:val="00A83A86"/>
    <w:rsid w:val="00AA5CF8"/>
    <w:rsid w:val="00AB185E"/>
    <w:rsid w:val="00AC071F"/>
    <w:rsid w:val="00AF6215"/>
    <w:rsid w:val="00B05AED"/>
    <w:rsid w:val="00B35EDF"/>
    <w:rsid w:val="00B36B74"/>
    <w:rsid w:val="00B419AF"/>
    <w:rsid w:val="00B51292"/>
    <w:rsid w:val="00C46C96"/>
    <w:rsid w:val="00C721B8"/>
    <w:rsid w:val="00C90C1D"/>
    <w:rsid w:val="00CA570A"/>
    <w:rsid w:val="00CD4627"/>
    <w:rsid w:val="00D05160"/>
    <w:rsid w:val="00D46156"/>
    <w:rsid w:val="00D61C38"/>
    <w:rsid w:val="00D65968"/>
    <w:rsid w:val="00D67A0C"/>
    <w:rsid w:val="00D81E8B"/>
    <w:rsid w:val="00DA3CC6"/>
    <w:rsid w:val="00DA7963"/>
    <w:rsid w:val="00DB49B7"/>
    <w:rsid w:val="00DC1705"/>
    <w:rsid w:val="00DD5745"/>
    <w:rsid w:val="00DD5FF0"/>
    <w:rsid w:val="00E01B9A"/>
    <w:rsid w:val="00E500B1"/>
    <w:rsid w:val="00E720A2"/>
    <w:rsid w:val="00E858E2"/>
    <w:rsid w:val="00EA245C"/>
    <w:rsid w:val="00EA35D8"/>
    <w:rsid w:val="00ED3741"/>
    <w:rsid w:val="00EE190B"/>
    <w:rsid w:val="00EE3A1E"/>
    <w:rsid w:val="00EF0F4F"/>
    <w:rsid w:val="00EF20A2"/>
    <w:rsid w:val="00F145A0"/>
    <w:rsid w:val="00FB5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A2"/>
  </w:style>
  <w:style w:type="paragraph" w:styleId="1">
    <w:name w:val="heading 1"/>
    <w:basedOn w:val="a"/>
    <w:next w:val="a"/>
    <w:link w:val="10"/>
    <w:uiPriority w:val="9"/>
    <w:qFormat/>
    <w:rsid w:val="00E720A2"/>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E720A2"/>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link w:val="30"/>
    <w:uiPriority w:val="9"/>
    <w:qFormat/>
    <w:rsid w:val="00B512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E65EE"/>
    <w:pPr>
      <w:keepNext/>
      <w:keepLines/>
      <w:spacing w:before="200" w:after="0"/>
      <w:outlineLvl w:val="3"/>
    </w:pPr>
    <w:rPr>
      <w:rFonts w:asciiTheme="majorHAnsi" w:eastAsiaTheme="majorEastAsia" w:hAnsiTheme="majorHAnsi" w:cstheme="majorBidi"/>
      <w:b/>
      <w:bCs/>
      <w:i/>
      <w:iCs/>
      <w:color w:val="DDDDDD" w:themeColor="accent1"/>
    </w:rPr>
  </w:style>
  <w:style w:type="paragraph" w:styleId="6">
    <w:name w:val="heading 6"/>
    <w:basedOn w:val="a"/>
    <w:next w:val="a"/>
    <w:link w:val="60"/>
    <w:qFormat/>
    <w:rsid w:val="003D34E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0A2"/>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E720A2"/>
    <w:rPr>
      <w:rFonts w:asciiTheme="majorHAnsi" w:eastAsiaTheme="majorEastAsia" w:hAnsiTheme="majorHAnsi" w:cstheme="majorBidi"/>
      <w:b/>
      <w:bCs/>
      <w:color w:val="DDDDDD" w:themeColor="accent1"/>
      <w:sz w:val="26"/>
      <w:szCs w:val="26"/>
    </w:rPr>
  </w:style>
  <w:style w:type="paragraph" w:styleId="a3">
    <w:name w:val="List Paragraph"/>
    <w:basedOn w:val="a"/>
    <w:uiPriority w:val="34"/>
    <w:qFormat/>
    <w:rsid w:val="00E720A2"/>
    <w:pPr>
      <w:ind w:left="720"/>
      <w:contextualSpacing/>
    </w:pPr>
  </w:style>
  <w:style w:type="paragraph" w:styleId="a4">
    <w:name w:val="footnote text"/>
    <w:basedOn w:val="a"/>
    <w:link w:val="a5"/>
    <w:semiHidden/>
    <w:unhideWhenUsed/>
    <w:rsid w:val="00CD4627"/>
    <w:pPr>
      <w:spacing w:after="0" w:line="240" w:lineRule="auto"/>
    </w:pPr>
    <w:rPr>
      <w:sz w:val="20"/>
      <w:szCs w:val="20"/>
    </w:rPr>
  </w:style>
  <w:style w:type="character" w:customStyle="1" w:styleId="a5">
    <w:name w:val="Текст сноски Знак"/>
    <w:basedOn w:val="a0"/>
    <w:link w:val="a4"/>
    <w:uiPriority w:val="99"/>
    <w:semiHidden/>
    <w:rsid w:val="00CD4627"/>
    <w:rPr>
      <w:sz w:val="20"/>
      <w:szCs w:val="20"/>
    </w:rPr>
  </w:style>
  <w:style w:type="character" w:styleId="a6">
    <w:name w:val="footnote reference"/>
    <w:basedOn w:val="a0"/>
    <w:semiHidden/>
    <w:unhideWhenUsed/>
    <w:rsid w:val="00CD4627"/>
    <w:rPr>
      <w:vertAlign w:val="superscript"/>
    </w:rPr>
  </w:style>
  <w:style w:type="character" w:customStyle="1" w:styleId="titledateend">
    <w:name w:val="title_date_end"/>
    <w:basedOn w:val="a0"/>
    <w:rsid w:val="00CD4627"/>
  </w:style>
  <w:style w:type="character" w:styleId="a7">
    <w:name w:val="Hyperlink"/>
    <w:basedOn w:val="a0"/>
    <w:uiPriority w:val="99"/>
    <w:unhideWhenUsed/>
    <w:rsid w:val="00CD4627"/>
    <w:rPr>
      <w:color w:val="0000FF"/>
      <w:u w:val="single"/>
    </w:rPr>
  </w:style>
  <w:style w:type="paragraph" w:styleId="a8">
    <w:name w:val="Balloon Text"/>
    <w:basedOn w:val="a"/>
    <w:link w:val="a9"/>
    <w:uiPriority w:val="99"/>
    <w:semiHidden/>
    <w:unhideWhenUsed/>
    <w:rsid w:val="009958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84E"/>
    <w:rPr>
      <w:rFonts w:ascii="Tahoma" w:hAnsi="Tahoma" w:cs="Tahoma"/>
      <w:sz w:val="16"/>
      <w:szCs w:val="16"/>
    </w:rPr>
  </w:style>
  <w:style w:type="character" w:customStyle="1" w:styleId="30">
    <w:name w:val="Заголовок 3 Знак"/>
    <w:basedOn w:val="a0"/>
    <w:link w:val="3"/>
    <w:uiPriority w:val="9"/>
    <w:rsid w:val="00B51292"/>
    <w:rPr>
      <w:rFonts w:ascii="Times New Roman" w:eastAsia="Times New Roman" w:hAnsi="Times New Roman" w:cs="Times New Roman"/>
      <w:b/>
      <w:bCs/>
      <w:sz w:val="27"/>
      <w:szCs w:val="27"/>
      <w:lang w:eastAsia="ru-RU"/>
    </w:rPr>
  </w:style>
  <w:style w:type="character" w:customStyle="1" w:styleId="mw-headline">
    <w:name w:val="mw-headline"/>
    <w:basedOn w:val="a0"/>
    <w:rsid w:val="00B51292"/>
  </w:style>
  <w:style w:type="paragraph" w:styleId="aa">
    <w:name w:val="Normal (Web)"/>
    <w:basedOn w:val="a"/>
    <w:uiPriority w:val="99"/>
    <w:semiHidden/>
    <w:unhideWhenUsed/>
    <w:rsid w:val="00B51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E65EE"/>
    <w:rPr>
      <w:rFonts w:asciiTheme="majorHAnsi" w:eastAsiaTheme="majorEastAsia" w:hAnsiTheme="majorHAnsi" w:cstheme="majorBidi"/>
      <w:b/>
      <w:bCs/>
      <w:i/>
      <w:iCs/>
      <w:color w:val="DDDDDD" w:themeColor="accent1"/>
    </w:rPr>
  </w:style>
  <w:style w:type="paragraph" w:styleId="ab">
    <w:name w:val="TOC Heading"/>
    <w:basedOn w:val="1"/>
    <w:next w:val="a"/>
    <w:uiPriority w:val="39"/>
    <w:semiHidden/>
    <w:unhideWhenUsed/>
    <w:qFormat/>
    <w:rsid w:val="00525828"/>
    <w:pPr>
      <w:outlineLvl w:val="9"/>
    </w:pPr>
  </w:style>
  <w:style w:type="paragraph" w:styleId="31">
    <w:name w:val="toc 3"/>
    <w:basedOn w:val="a"/>
    <w:next w:val="a"/>
    <w:autoRedefine/>
    <w:uiPriority w:val="39"/>
    <w:unhideWhenUsed/>
    <w:rsid w:val="00525828"/>
    <w:pPr>
      <w:spacing w:after="100"/>
      <w:ind w:left="440"/>
    </w:pPr>
  </w:style>
  <w:style w:type="paragraph" w:styleId="ac">
    <w:name w:val="annotation text"/>
    <w:basedOn w:val="a"/>
    <w:link w:val="ad"/>
    <w:uiPriority w:val="99"/>
    <w:semiHidden/>
    <w:unhideWhenUsed/>
    <w:rsid w:val="000634D3"/>
    <w:pPr>
      <w:spacing w:line="240" w:lineRule="auto"/>
    </w:pPr>
    <w:rPr>
      <w:sz w:val="24"/>
      <w:szCs w:val="24"/>
    </w:rPr>
  </w:style>
  <w:style w:type="character" w:customStyle="1" w:styleId="ad">
    <w:name w:val="Текст примечания Знак"/>
    <w:basedOn w:val="a0"/>
    <w:link w:val="ac"/>
    <w:uiPriority w:val="99"/>
    <w:semiHidden/>
    <w:rsid w:val="000634D3"/>
    <w:rPr>
      <w:sz w:val="24"/>
      <w:szCs w:val="24"/>
    </w:rPr>
  </w:style>
  <w:style w:type="character" w:customStyle="1" w:styleId="nowrap">
    <w:name w:val="nowrap"/>
    <w:basedOn w:val="a0"/>
    <w:rsid w:val="00D81E8B"/>
  </w:style>
  <w:style w:type="character" w:customStyle="1" w:styleId="60">
    <w:name w:val="Заголовок 6 Знак"/>
    <w:basedOn w:val="a0"/>
    <w:link w:val="6"/>
    <w:rsid w:val="003D34E9"/>
    <w:rPr>
      <w:rFonts w:ascii="Times New Roman" w:eastAsia="Times New Roman" w:hAnsi="Times New Roman" w:cs="Times New Roman"/>
      <w:b/>
      <w:bCs/>
      <w:lang w:eastAsia="ru-RU"/>
    </w:rPr>
  </w:style>
  <w:style w:type="paragraph" w:customStyle="1" w:styleId="FR1">
    <w:name w:val="FR1"/>
    <w:rsid w:val="003D34E9"/>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3D34E9"/>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2">
    <w:name w:val="Основной текст 2 Знак"/>
    <w:basedOn w:val="a0"/>
    <w:link w:val="21"/>
    <w:rsid w:val="003D34E9"/>
    <w:rPr>
      <w:rFonts w:ascii="Times New Roman" w:eastAsia="Times New Roman" w:hAnsi="Times New Roman" w:cs="Times New Roman"/>
      <w:sz w:val="24"/>
      <w:szCs w:val="18"/>
      <w:lang w:eastAsia="ru-RU"/>
    </w:rPr>
  </w:style>
  <w:style w:type="paragraph" w:styleId="11">
    <w:name w:val="toc 1"/>
    <w:basedOn w:val="a"/>
    <w:next w:val="a"/>
    <w:autoRedefine/>
    <w:uiPriority w:val="39"/>
    <w:unhideWhenUsed/>
    <w:rsid w:val="003D34E9"/>
    <w:pPr>
      <w:spacing w:after="100"/>
    </w:pPr>
  </w:style>
  <w:style w:type="paragraph" w:styleId="23">
    <w:name w:val="toc 2"/>
    <w:basedOn w:val="a"/>
    <w:next w:val="a"/>
    <w:autoRedefine/>
    <w:uiPriority w:val="39"/>
    <w:unhideWhenUsed/>
    <w:rsid w:val="003D34E9"/>
    <w:pPr>
      <w:spacing w:after="100"/>
      <w:ind w:left="220"/>
    </w:pPr>
  </w:style>
  <w:style w:type="paragraph" w:styleId="ae">
    <w:name w:val="header"/>
    <w:basedOn w:val="a"/>
    <w:link w:val="af"/>
    <w:uiPriority w:val="99"/>
    <w:unhideWhenUsed/>
    <w:rsid w:val="00A006D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006D0"/>
  </w:style>
  <w:style w:type="paragraph" w:styleId="af0">
    <w:name w:val="footer"/>
    <w:basedOn w:val="a"/>
    <w:link w:val="af1"/>
    <w:uiPriority w:val="99"/>
    <w:unhideWhenUsed/>
    <w:rsid w:val="00A006D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06D0"/>
  </w:style>
  <w:style w:type="character" w:styleId="af2">
    <w:name w:val="annotation reference"/>
    <w:basedOn w:val="a0"/>
    <w:uiPriority w:val="99"/>
    <w:semiHidden/>
    <w:unhideWhenUsed/>
    <w:rsid w:val="00C90C1D"/>
    <w:rPr>
      <w:sz w:val="16"/>
      <w:szCs w:val="16"/>
    </w:rPr>
  </w:style>
  <w:style w:type="paragraph" w:styleId="af3">
    <w:name w:val="annotation subject"/>
    <w:basedOn w:val="ac"/>
    <w:next w:val="ac"/>
    <w:link w:val="af4"/>
    <w:uiPriority w:val="99"/>
    <w:semiHidden/>
    <w:unhideWhenUsed/>
    <w:rsid w:val="00C90C1D"/>
    <w:rPr>
      <w:b/>
      <w:bCs/>
      <w:sz w:val="20"/>
      <w:szCs w:val="20"/>
    </w:rPr>
  </w:style>
  <w:style w:type="character" w:customStyle="1" w:styleId="af4">
    <w:name w:val="Тема примечания Знак"/>
    <w:basedOn w:val="ad"/>
    <w:link w:val="af3"/>
    <w:uiPriority w:val="99"/>
    <w:semiHidden/>
    <w:rsid w:val="00C90C1D"/>
    <w:rPr>
      <w:b/>
      <w:bCs/>
      <w:sz w:val="20"/>
      <w:szCs w:val="20"/>
    </w:rPr>
  </w:style>
  <w:style w:type="character" w:customStyle="1" w:styleId="hps">
    <w:name w:val="hps"/>
    <w:basedOn w:val="a0"/>
    <w:rsid w:val="0097401D"/>
  </w:style>
  <w:style w:type="paragraph" w:customStyle="1" w:styleId="Default">
    <w:name w:val="Default"/>
    <w:rsid w:val="009740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27148755">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0">
          <w:marLeft w:val="0"/>
          <w:marRight w:val="0"/>
          <w:marTop w:val="0"/>
          <w:marBottom w:val="0"/>
          <w:divBdr>
            <w:top w:val="none" w:sz="0" w:space="0" w:color="auto"/>
            <w:left w:val="none" w:sz="0" w:space="0" w:color="auto"/>
            <w:bottom w:val="none" w:sz="0" w:space="0" w:color="auto"/>
            <w:right w:val="none" w:sz="0" w:space="0" w:color="auto"/>
          </w:divBdr>
        </w:div>
        <w:div w:id="220868189">
          <w:marLeft w:val="0"/>
          <w:marRight w:val="0"/>
          <w:marTop w:val="0"/>
          <w:marBottom w:val="0"/>
          <w:divBdr>
            <w:top w:val="none" w:sz="0" w:space="0" w:color="auto"/>
            <w:left w:val="none" w:sz="0" w:space="0" w:color="auto"/>
            <w:bottom w:val="none" w:sz="0" w:space="0" w:color="auto"/>
            <w:right w:val="none" w:sz="0" w:space="0" w:color="auto"/>
          </w:divBdr>
        </w:div>
      </w:divsChild>
    </w:div>
    <w:div w:id="939677271">
      <w:bodyDiv w:val="1"/>
      <w:marLeft w:val="0"/>
      <w:marRight w:val="0"/>
      <w:marTop w:val="0"/>
      <w:marBottom w:val="0"/>
      <w:divBdr>
        <w:top w:val="none" w:sz="0" w:space="0" w:color="auto"/>
        <w:left w:val="none" w:sz="0" w:space="0" w:color="auto"/>
        <w:bottom w:val="none" w:sz="0" w:space="0" w:color="auto"/>
        <w:right w:val="none" w:sz="0" w:space="0" w:color="auto"/>
      </w:divBdr>
    </w:div>
    <w:div w:id="1078164093">
      <w:bodyDiv w:val="1"/>
      <w:marLeft w:val="0"/>
      <w:marRight w:val="0"/>
      <w:marTop w:val="0"/>
      <w:marBottom w:val="0"/>
      <w:divBdr>
        <w:top w:val="none" w:sz="0" w:space="0" w:color="auto"/>
        <w:left w:val="none" w:sz="0" w:space="0" w:color="auto"/>
        <w:bottom w:val="none" w:sz="0" w:space="0" w:color="auto"/>
        <w:right w:val="none" w:sz="0" w:space="0" w:color="auto"/>
      </w:divBdr>
      <w:divsChild>
        <w:div w:id="97214183">
          <w:marLeft w:val="0"/>
          <w:marRight w:val="0"/>
          <w:marTop w:val="0"/>
          <w:marBottom w:val="0"/>
          <w:divBdr>
            <w:top w:val="none" w:sz="0" w:space="0" w:color="auto"/>
            <w:left w:val="none" w:sz="0" w:space="0" w:color="auto"/>
            <w:bottom w:val="none" w:sz="0" w:space="0" w:color="auto"/>
            <w:right w:val="none" w:sz="0" w:space="0" w:color="auto"/>
          </w:divBdr>
        </w:div>
        <w:div w:id="1329364847">
          <w:marLeft w:val="0"/>
          <w:marRight w:val="0"/>
          <w:marTop w:val="0"/>
          <w:marBottom w:val="0"/>
          <w:divBdr>
            <w:top w:val="none" w:sz="0" w:space="0" w:color="auto"/>
            <w:left w:val="none" w:sz="0" w:space="0" w:color="auto"/>
            <w:bottom w:val="none" w:sz="0" w:space="0" w:color="auto"/>
            <w:right w:val="none" w:sz="0" w:space="0" w:color="auto"/>
          </w:divBdr>
        </w:div>
        <w:div w:id="1754400737">
          <w:marLeft w:val="0"/>
          <w:marRight w:val="0"/>
          <w:marTop w:val="0"/>
          <w:marBottom w:val="0"/>
          <w:divBdr>
            <w:top w:val="none" w:sz="0" w:space="0" w:color="auto"/>
            <w:left w:val="none" w:sz="0" w:space="0" w:color="auto"/>
            <w:bottom w:val="none" w:sz="0" w:space="0" w:color="auto"/>
            <w:right w:val="none" w:sz="0" w:space="0" w:color="auto"/>
          </w:divBdr>
        </w:div>
        <w:div w:id="1824345225">
          <w:marLeft w:val="0"/>
          <w:marRight w:val="0"/>
          <w:marTop w:val="0"/>
          <w:marBottom w:val="0"/>
          <w:divBdr>
            <w:top w:val="none" w:sz="0" w:space="0" w:color="auto"/>
            <w:left w:val="none" w:sz="0" w:space="0" w:color="auto"/>
            <w:bottom w:val="none" w:sz="0" w:space="0" w:color="auto"/>
            <w:right w:val="none" w:sz="0" w:space="0" w:color="auto"/>
          </w:divBdr>
        </w:div>
      </w:divsChild>
    </w:div>
    <w:div w:id="1196650722">
      <w:bodyDiv w:val="1"/>
      <w:marLeft w:val="0"/>
      <w:marRight w:val="0"/>
      <w:marTop w:val="0"/>
      <w:marBottom w:val="0"/>
      <w:divBdr>
        <w:top w:val="none" w:sz="0" w:space="0" w:color="auto"/>
        <w:left w:val="none" w:sz="0" w:space="0" w:color="auto"/>
        <w:bottom w:val="none" w:sz="0" w:space="0" w:color="auto"/>
        <w:right w:val="none" w:sz="0" w:space="0" w:color="auto"/>
      </w:divBdr>
    </w:div>
    <w:div w:id="1865752200">
      <w:bodyDiv w:val="1"/>
      <w:marLeft w:val="0"/>
      <w:marRight w:val="0"/>
      <w:marTop w:val="0"/>
      <w:marBottom w:val="0"/>
      <w:divBdr>
        <w:top w:val="none" w:sz="0" w:space="0" w:color="auto"/>
        <w:left w:val="none" w:sz="0" w:space="0" w:color="auto"/>
        <w:bottom w:val="none" w:sz="0" w:space="0" w:color="auto"/>
        <w:right w:val="none" w:sz="0" w:space="0" w:color="auto"/>
      </w:divBdr>
      <w:divsChild>
        <w:div w:id="693843490">
          <w:marLeft w:val="0"/>
          <w:marRight w:val="0"/>
          <w:marTop w:val="0"/>
          <w:marBottom w:val="0"/>
          <w:divBdr>
            <w:top w:val="none" w:sz="0" w:space="0" w:color="auto"/>
            <w:left w:val="none" w:sz="0" w:space="0" w:color="auto"/>
            <w:bottom w:val="none" w:sz="0" w:space="0" w:color="auto"/>
            <w:right w:val="none" w:sz="0" w:space="0" w:color="auto"/>
          </w:divBdr>
        </w:div>
        <w:div w:id="795175986">
          <w:marLeft w:val="0"/>
          <w:marRight w:val="0"/>
          <w:marTop w:val="0"/>
          <w:marBottom w:val="0"/>
          <w:divBdr>
            <w:top w:val="none" w:sz="0" w:space="0" w:color="auto"/>
            <w:left w:val="none" w:sz="0" w:space="0" w:color="auto"/>
            <w:bottom w:val="none" w:sz="0" w:space="0" w:color="auto"/>
            <w:right w:val="none" w:sz="0" w:space="0" w:color="auto"/>
          </w:divBdr>
        </w:div>
        <w:div w:id="1160921270">
          <w:marLeft w:val="0"/>
          <w:marRight w:val="0"/>
          <w:marTop w:val="0"/>
          <w:marBottom w:val="0"/>
          <w:divBdr>
            <w:top w:val="none" w:sz="0" w:space="0" w:color="auto"/>
            <w:left w:val="none" w:sz="0" w:space="0" w:color="auto"/>
            <w:bottom w:val="none" w:sz="0" w:space="0" w:color="auto"/>
            <w:right w:val="none" w:sz="0" w:space="0" w:color="auto"/>
          </w:divBdr>
        </w:div>
        <w:div w:id="142819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7E41E-512F-42EE-8C2D-A7917ED5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13848</TotalTime>
  <Pages>43</Pages>
  <Words>8861</Words>
  <Characters>50509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NightHeaven</dc:creator>
  <cp:lastModifiedBy>NightHeaven</cp:lastModifiedBy>
  <cp:revision>1</cp:revision>
  <dcterms:created xsi:type="dcterms:W3CDTF">2013-02-03T10:42:00Z</dcterms:created>
  <dcterms:modified xsi:type="dcterms:W3CDTF">2013-06-08T15:50:00Z</dcterms:modified>
</cp:coreProperties>
</file>